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3"/>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2</w:t>
            </w:r>
            <w:r>
              <w:rPr>
                <w:rFonts w:ascii="宋体" w:hAnsi="宋体"/>
                <w:b/>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color w:val="auto"/>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仿宋"/>
                <w:color w:val="auto"/>
                <w:szCs w:val="21"/>
                <w:lang w:eastAsia="zh-CN"/>
              </w:rPr>
            </w:pPr>
            <w:r>
              <w:rPr>
                <w:rFonts w:ascii="宋体" w:hAnsi="宋体" w:cs="仿宋"/>
                <w:szCs w:val="21"/>
              </w:rPr>
              <w:t>1</w:t>
            </w:r>
            <w:r>
              <w:rPr>
                <w:rFonts w:hint="eastAsia" w:ascii="宋体" w:hAnsi="宋体" w:cs="仿宋"/>
                <w:szCs w:val="21"/>
                <w:lang w:val="en-US" w:eastAsia="zh-CN"/>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jc w:val="left"/>
              <w:rPr>
                <w:rFonts w:hint="eastAsia" w:ascii="宋体" w:hAnsi="宋体"/>
                <w:color w:val="auto"/>
                <w:szCs w:val="21"/>
              </w:rPr>
            </w:pPr>
            <w:r>
              <w:rPr>
                <w:rFonts w:hint="eastAsia" w:ascii="宋体" w:hAnsi="宋体"/>
                <w:color w:val="auto"/>
                <w:szCs w:val="21"/>
              </w:rPr>
              <w:t>评审内容：实施方案完善程度及是否满足服务需求等，考察项目实施方案是否工作方法科学，技术路线合理，项目计划安排得当。</w:t>
            </w:r>
          </w:p>
          <w:p>
            <w:pPr>
              <w:widowControl/>
              <w:jc w:val="left"/>
              <w:rPr>
                <w:rFonts w:ascii="宋体" w:hAnsi="宋体" w:cs="仿宋"/>
                <w:color w:val="auto"/>
                <w:szCs w:val="21"/>
              </w:rPr>
            </w:pPr>
            <w:r>
              <w:rPr>
                <w:rFonts w:hint="eastAsia" w:ascii="宋体" w:hAnsi="宋体"/>
                <w:color w:val="auto"/>
                <w:szCs w:val="21"/>
              </w:rPr>
              <w:t>根据投标文件响应情况进行横向比较，分档评分：第一档得10分，第二档得8分，第三档得6分，第四档得4分，其余得2分。未提供本项响应内容的不得分。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olor w:val="auto"/>
                <w:szCs w:val="21"/>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jc w:val="left"/>
              <w:rPr>
                <w:rFonts w:hint="eastAsia" w:ascii="宋体" w:hAnsi="宋体"/>
                <w:color w:val="auto"/>
                <w:szCs w:val="21"/>
              </w:rPr>
            </w:pPr>
            <w:r>
              <w:rPr>
                <w:rFonts w:hint="eastAsia" w:ascii="宋体" w:hAnsi="宋体"/>
                <w:color w:val="auto"/>
                <w:szCs w:val="21"/>
              </w:rPr>
              <w:t>评审内容：投标文件中对项目的质量保障措施是否科学合理可行。</w:t>
            </w:r>
          </w:p>
          <w:p>
            <w:pPr>
              <w:widowControl/>
              <w:jc w:val="left"/>
              <w:rPr>
                <w:color w:val="auto"/>
              </w:rPr>
            </w:pPr>
            <w:r>
              <w:rPr>
                <w:rFonts w:hint="eastAsia" w:ascii="宋体" w:hAnsi="宋体"/>
                <w:color w:val="auto"/>
                <w:szCs w:val="21"/>
              </w:rPr>
              <w:t>根据投标文件响应情况进行横向比较，分档评分：第一档得10分，第二档得8分，第三档得6分，第四档得4分，其余得2分。未提供本项响应内容的不得分。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ascii="宋体" w:hAnsi="宋体" w:cs="仿宋"/>
                <w:color w:val="auto"/>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cs="仿宋"/>
                <w:szCs w:val="21"/>
              </w:rPr>
            </w:pPr>
            <w:r>
              <w:rPr>
                <w:rFonts w:hint="eastAsia" w:ascii="宋体" w:hAnsi="宋体" w:cs="仿宋"/>
                <w:szCs w:val="21"/>
              </w:rPr>
              <w:t>项目完成的</w:t>
            </w:r>
          </w:p>
          <w:p>
            <w:pPr>
              <w:widowControl/>
              <w:spacing w:line="300" w:lineRule="atLeast"/>
              <w:jc w:val="center"/>
              <w:rPr>
                <w:color w:val="auto"/>
              </w:rPr>
            </w:pPr>
            <w:r>
              <w:rPr>
                <w:rFonts w:hint="eastAsia" w:ascii="宋体" w:hAnsi="宋体" w:cs="仿宋"/>
                <w:szCs w:val="21"/>
              </w:rPr>
              <w:t>服务承诺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default" w:ascii="宋体" w:hAnsi="宋体" w:eastAsia="宋体" w:cs="仿宋"/>
                <w:color w:val="auto"/>
                <w:szCs w:val="21"/>
                <w:lang w:val="en-US" w:eastAsia="zh-CN"/>
              </w:rPr>
            </w:pPr>
            <w:r>
              <w:rPr>
                <w:rFonts w:hint="eastAsia" w:ascii="宋体" w:hAnsi="宋体" w:cs="仿宋"/>
                <w:szCs w:val="21"/>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jc w:val="left"/>
              <w:rPr>
                <w:rFonts w:hint="eastAsia" w:ascii="宋体" w:hAnsi="宋体"/>
                <w:color w:val="auto"/>
                <w:szCs w:val="21"/>
              </w:rPr>
            </w:pPr>
            <w:r>
              <w:rPr>
                <w:rFonts w:hint="eastAsia" w:ascii="宋体" w:hAnsi="宋体"/>
                <w:color w:val="auto"/>
                <w:szCs w:val="21"/>
              </w:rPr>
              <w:t>评审内容：投标文件中对项目完成的服务承诺内容，能保障按招标文件服务内容提供有关的服务。</w:t>
            </w:r>
          </w:p>
          <w:p>
            <w:pPr>
              <w:widowControl/>
              <w:jc w:val="left"/>
              <w:rPr>
                <w:color w:val="auto"/>
              </w:rPr>
            </w:pPr>
            <w:r>
              <w:rPr>
                <w:rFonts w:hint="eastAsia" w:ascii="宋体" w:hAnsi="宋体"/>
                <w:color w:val="auto"/>
                <w:szCs w:val="21"/>
              </w:rPr>
              <w:t>根据投标文件响应情况进行横向比较，分档评分：第一档得3分，第二档得2分，第三档得1分，其余得0.5分。未提供本项响应内容的不得分。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color w:val="auto"/>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color w:val="auto"/>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jc w:val="left"/>
              <w:rPr>
                <w:rFonts w:hint="eastAsia" w:ascii="宋体" w:hAnsi="宋体"/>
                <w:color w:val="auto"/>
                <w:szCs w:val="21"/>
              </w:rPr>
            </w:pPr>
            <w:r>
              <w:rPr>
                <w:rFonts w:hint="eastAsia" w:ascii="宋体" w:hAnsi="宋体"/>
                <w:color w:val="auto"/>
                <w:szCs w:val="21"/>
              </w:rPr>
              <w:t>评审内容：投标文件中对违约承诺内容，若出现违约现象，投标人承诺承担相应违约责任。</w:t>
            </w:r>
          </w:p>
          <w:p>
            <w:pPr>
              <w:widowControl/>
              <w:jc w:val="left"/>
              <w:rPr>
                <w:color w:val="auto"/>
              </w:rPr>
            </w:pPr>
            <w:r>
              <w:rPr>
                <w:rFonts w:hint="eastAsia" w:ascii="宋体" w:hAnsi="宋体"/>
                <w:color w:val="auto"/>
                <w:szCs w:val="21"/>
              </w:rPr>
              <w:t>根据投标文件响应情况进行横向比较，分档评分：第一档得2分，第二档得1分，其余得0.5分。未提供本项响应内容的不得分。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color w:val="auto"/>
                <w:szCs w:val="21"/>
                <w:lang w:eastAsia="zh-CN"/>
              </w:rPr>
            </w:pPr>
            <w:r>
              <w:rPr>
                <w:rFonts w:hint="eastAsia" w:ascii="宋体" w:hAnsi="宋体" w:cs="仿宋"/>
                <w:color w:val="auto"/>
                <w:szCs w:val="21"/>
                <w:lang w:val="en-US" w:eastAsia="zh-CN"/>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color w:val="auto"/>
                <w:szCs w:val="21"/>
              </w:rPr>
            </w:pPr>
            <w:r>
              <w:rPr>
                <w:rFonts w:hint="eastAsia" w:ascii="宋体" w:hAnsi="宋体" w:eastAsia="宋体" w:cs="Times New Roman"/>
                <w:b/>
                <w:bCs/>
                <w:color w:val="auto"/>
                <w:szCs w:val="21"/>
              </w:rPr>
              <w:t>项目人员配置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lang w:val="en-US" w:eastAsia="zh-CN"/>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color w:val="auto"/>
                <w:szCs w:val="21"/>
              </w:rPr>
            </w:pPr>
            <w:r>
              <w:rPr>
                <w:rFonts w:hint="eastAsia" w:ascii="宋体" w:hAnsi="宋体" w:eastAsia="宋体" w:cs="Times New Roman"/>
                <w:bCs/>
                <w:color w:val="auto"/>
                <w:szCs w:val="21"/>
              </w:rPr>
              <w:t>项目配置人员符合招标文件人员配置要求（须提供具体方案及相应承诺）得5分，不提供或不符合招标文件人员配置要求的得0分。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仿宋"/>
                <w:color w:val="auto"/>
                <w:szCs w:val="21"/>
                <w:lang w:eastAsia="zh-CN"/>
              </w:rPr>
            </w:pPr>
            <w:r>
              <w:rPr>
                <w:rFonts w:hint="eastAsia" w:ascii="宋体" w:hAnsi="宋体" w:cs="仿宋"/>
                <w:szCs w:val="21"/>
                <w:lang w:val="en-US" w:eastAsia="zh-CN"/>
              </w:rPr>
              <w:t>6</w:t>
            </w:r>
          </w:p>
        </w:tc>
        <w:tc>
          <w:tcPr>
            <w:tcW w:w="22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b/>
                <w:bCs/>
                <w:color w:val="auto"/>
                <w:szCs w:val="21"/>
              </w:rPr>
            </w:pPr>
            <w:r>
              <w:rPr>
                <w:rFonts w:hint="eastAsia" w:ascii="宋体" w:hAnsi="宋体"/>
                <w:b/>
                <w:bCs/>
                <w:color w:val="auto"/>
                <w:szCs w:val="21"/>
              </w:rPr>
              <w:t>投标文件</w:t>
            </w:r>
          </w:p>
          <w:p>
            <w:pPr>
              <w:widowControl/>
              <w:spacing w:line="300" w:lineRule="atLeast"/>
              <w:jc w:val="center"/>
              <w:rPr>
                <w:rFonts w:hint="eastAsia"/>
                <w:color w:val="auto"/>
              </w:rPr>
            </w:pPr>
            <w:r>
              <w:rPr>
                <w:rFonts w:hint="eastAsia" w:ascii="宋体" w:hAnsi="宋体"/>
                <w:b/>
                <w:bCs/>
                <w:color w:val="auto"/>
                <w:szCs w:val="21"/>
              </w:rPr>
              <w:t>编制质量</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宋体" w:hAnsi="宋体" w:eastAsia="宋体" w:cs="仿宋"/>
                <w:color w:val="auto"/>
                <w:szCs w:val="21"/>
                <w:lang w:eastAsia="zh-CN"/>
              </w:rPr>
            </w:pPr>
            <w:r>
              <w:rPr>
                <w:rFonts w:hint="eastAsia" w:ascii="宋体" w:hAnsi="宋体" w:cs="仿宋"/>
                <w:szCs w:val="21"/>
                <w:lang w:val="en-US" w:eastAsia="zh-CN"/>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color w:val="auto"/>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rFonts w:ascii="宋体" w:hAnsi="宋体"/>
                <w:bCs/>
                <w:color w:val="auto"/>
                <w:szCs w:val="21"/>
              </w:rPr>
            </w:pPr>
            <w:r>
              <w:rPr>
                <w:rFonts w:ascii="宋体" w:hAnsi="宋体"/>
                <w:bCs/>
                <w:color w:val="auto"/>
                <w:szCs w:val="21"/>
              </w:rPr>
              <w:t>投标文件有缺漏项但未导致实质性偏离的扣40%</w:t>
            </w:r>
            <w:r>
              <w:rPr>
                <w:rFonts w:hint="eastAsia" w:ascii="宋体" w:hAnsi="宋体"/>
                <w:bCs/>
                <w:color w:val="auto"/>
                <w:szCs w:val="21"/>
              </w:rPr>
              <w:t>分数</w:t>
            </w:r>
            <w:r>
              <w:rPr>
                <w:rFonts w:hint="eastAsia" w:ascii="宋体" w:hAnsi="宋体"/>
                <w:bCs/>
                <w:color w:val="auto"/>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rFonts w:ascii="宋体" w:hAnsi="宋体"/>
                <w:bCs/>
                <w:color w:val="auto"/>
                <w:szCs w:val="21"/>
              </w:rPr>
            </w:pPr>
            <w:r>
              <w:rPr>
                <w:rFonts w:ascii="宋体" w:hAnsi="宋体"/>
                <w:bCs/>
                <w:color w:val="auto"/>
                <w:szCs w:val="21"/>
              </w:rPr>
              <w:t>投标文件资料扫描不清晰的扣40%</w:t>
            </w:r>
            <w:r>
              <w:rPr>
                <w:rFonts w:hint="eastAsia" w:ascii="宋体" w:hAnsi="宋体"/>
                <w:bCs/>
                <w:color w:val="auto"/>
                <w:szCs w:val="21"/>
              </w:rPr>
              <w:t>分数</w:t>
            </w:r>
            <w:r>
              <w:rPr>
                <w:rFonts w:hint="eastAsia" w:ascii="宋体" w:hAnsi="宋体"/>
                <w:bCs/>
                <w:color w:val="auto"/>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olor w:val="auto"/>
                <w:szCs w:val="21"/>
              </w:rPr>
            </w:pPr>
            <w:r>
              <w:rPr>
                <w:rFonts w:ascii="宋体" w:hAnsi="宋体"/>
                <w:bCs/>
                <w:color w:val="auto"/>
                <w:szCs w:val="21"/>
              </w:rPr>
              <w:t>投标文件编排混乱的扣20%</w:t>
            </w:r>
            <w:r>
              <w:rPr>
                <w:rFonts w:hint="eastAsia" w:ascii="宋体" w:hAnsi="宋体"/>
                <w:bCs/>
                <w:color w:val="auto"/>
                <w:szCs w:val="21"/>
              </w:rPr>
              <w:t>分数</w:t>
            </w:r>
            <w:r>
              <w:rPr>
                <w:rFonts w:ascii="宋体" w:hAnsi="宋体"/>
                <w:bCs/>
                <w:color w:val="auto"/>
                <w:szCs w:val="21"/>
              </w:rPr>
              <w:t>。</w:t>
            </w:r>
          </w:p>
          <w:p>
            <w:pPr>
              <w:widowControl/>
              <w:jc w:val="left"/>
              <w:rPr>
                <w:rFonts w:hint="eastAsia"/>
                <w:bCs/>
                <w:color w:val="auto"/>
                <w:kern w:val="0"/>
                <w:szCs w:val="21"/>
              </w:rPr>
            </w:pPr>
            <w:r>
              <w:rPr>
                <w:rFonts w:hint="eastAsia" w:ascii="宋体" w:hAnsi="宋体"/>
                <w:bCs/>
                <w:color w:val="auto"/>
                <w:szCs w:val="21"/>
              </w:rPr>
              <w:t>无上述情况的，本项得</w:t>
            </w:r>
            <w:r>
              <w:rPr>
                <w:rFonts w:ascii="宋体" w:hAnsi="宋体"/>
                <w:bCs/>
                <w:color w:val="auto"/>
                <w:szCs w:val="21"/>
              </w:rPr>
              <w:t>100%</w:t>
            </w:r>
            <w:r>
              <w:rPr>
                <w:rFonts w:hint="eastAsia" w:ascii="宋体" w:hAnsi="宋体"/>
                <w:bCs/>
                <w:color w:val="auto"/>
                <w:szCs w:val="21"/>
              </w:rPr>
              <w:t>分数</w:t>
            </w:r>
            <w:r>
              <w:rPr>
                <w:rFonts w:ascii="宋体" w:hAnsi="宋体"/>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ascii="宋体" w:hAnsi="宋体"/>
                <w:b/>
                <w:color w:val="auto"/>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Cs w:val="21"/>
              </w:rPr>
            </w:pPr>
            <w:r>
              <w:rPr>
                <w:rFonts w:hint="eastAsia" w:asciiTheme="minorEastAsia" w:hAnsiTheme="minorEastAsia" w:eastAsiaTheme="minorEastAsia" w:cstheme="minorEastAsia"/>
                <w:b/>
                <w:bCs/>
                <w:color w:val="auto"/>
                <w:kern w:val="0"/>
                <w:sz w:val="21"/>
                <w:szCs w:val="21"/>
              </w:rPr>
              <w:t>社会组织等级评估情况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default" w:ascii="宋体" w:hAnsi="宋体" w:eastAsia="宋体"/>
                <w:color w:val="auto"/>
                <w:szCs w:val="21"/>
                <w:lang w:val="en-US" w:eastAsia="zh-CN"/>
              </w:rPr>
            </w:pPr>
            <w:r>
              <w:rPr>
                <w:rFonts w:hint="eastAsia" w:ascii="宋体" w:hAnsi="宋体"/>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wordWrap w:val="0"/>
              <w:spacing w:line="240" w:lineRule="auto"/>
              <w:ind w:left="0" w:leftChars="0"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深圳市社会组织登记评估为4A及以上的，得10分。</w:t>
            </w:r>
          </w:p>
          <w:p>
            <w:pPr>
              <w:widowControl/>
              <w:numPr>
                <w:ilvl w:val="0"/>
                <w:numId w:val="2"/>
              </w:numPr>
              <w:wordWrap w:val="0"/>
              <w:spacing w:line="240" w:lineRule="auto"/>
              <w:ind w:left="0" w:leftChars="0"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3A得5分，无评估等级的不得分</w:t>
            </w:r>
            <w:r>
              <w:rPr>
                <w:rFonts w:hint="eastAsia" w:asciiTheme="minorEastAsia" w:hAnsiTheme="minorEastAsia" w:eastAsiaTheme="minorEastAsia" w:cstheme="minorEastAsia"/>
                <w:color w:val="auto"/>
                <w:kern w:val="0"/>
                <w:sz w:val="21"/>
                <w:szCs w:val="21"/>
              </w:rPr>
              <w:t>。</w:t>
            </w:r>
          </w:p>
          <w:p>
            <w:pPr>
              <w:widowControl/>
              <w:spacing w:line="120" w:lineRule="atLeast"/>
              <w:jc w:val="left"/>
              <w:rPr>
                <w:rFonts w:ascii="宋体" w:hAnsi="宋体"/>
                <w:color w:val="auto"/>
                <w:szCs w:val="21"/>
              </w:rPr>
            </w:pPr>
            <w:r>
              <w:rPr>
                <w:rFonts w:hint="eastAsia" w:asciiTheme="minorEastAsia" w:hAnsiTheme="minorEastAsia" w:eastAsiaTheme="minorEastAsia" w:cstheme="minorEastAsia"/>
                <w:color w:val="auto"/>
                <w:sz w:val="21"/>
                <w:szCs w:val="21"/>
                <w:lang w:val="en-US" w:eastAsia="zh-CN"/>
              </w:rPr>
              <w:t>提供相关主管部门的证明材料，不提供不得分。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Cs w:val="21"/>
              </w:rPr>
            </w:pPr>
            <w:r>
              <w:rPr>
                <w:rFonts w:hint="eastAsia" w:asciiTheme="minorEastAsia" w:hAnsiTheme="minorEastAsia" w:eastAsiaTheme="minorEastAsia" w:cstheme="minorEastAsia"/>
                <w:b/>
                <w:bCs/>
                <w:color w:val="auto"/>
                <w:sz w:val="21"/>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default" w:ascii="宋体" w:hAnsi="宋体" w:eastAsia="宋体"/>
                <w:color w:val="auto"/>
                <w:szCs w:val="21"/>
                <w:lang w:val="en-US" w:eastAsia="zh-CN"/>
              </w:rPr>
            </w:pPr>
            <w:r>
              <w:rPr>
                <w:rFonts w:hint="eastAsia" w:ascii="宋体" w:hAnsi="宋体"/>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（一）评分内容： </w:t>
            </w:r>
          </w:p>
          <w:p>
            <w:pPr>
              <w:pStyle w:val="9"/>
              <w:spacing w:line="240" w:lineRule="auto"/>
              <w:ind w:left="0"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1. </w:t>
            </w:r>
            <w:r>
              <w:rPr>
                <w:rFonts w:hint="eastAsia" w:asciiTheme="minorEastAsia" w:hAnsiTheme="minorEastAsia" w:eastAsiaTheme="minorEastAsia" w:cstheme="minorEastAsia"/>
                <w:color w:val="auto"/>
                <w:sz w:val="21"/>
                <w:szCs w:val="21"/>
                <w:highlight w:val="none"/>
              </w:rPr>
              <w:t>根据投标人近三年（201</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rPr>
              <w:t>年1月1日至今）每完成同类服务项目的</w:t>
            </w:r>
            <w:r>
              <w:rPr>
                <w:rFonts w:hint="eastAsia" w:asciiTheme="minorEastAsia" w:hAnsiTheme="minorEastAsia" w:eastAsiaTheme="minorEastAsia" w:cstheme="minorEastAsia"/>
                <w:color w:val="auto"/>
                <w:sz w:val="21"/>
                <w:szCs w:val="21"/>
                <w:highlight w:val="none"/>
                <w:lang w:val="en-US" w:eastAsia="zh-CN"/>
              </w:rPr>
              <w:t>医务社工服务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每个得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分，最高得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医护人员服务项目类得分，其他不得分</w:t>
            </w:r>
            <w:r>
              <w:rPr>
                <w:rFonts w:hint="eastAsia" w:asciiTheme="minorEastAsia" w:hAnsiTheme="minorEastAsia" w:eastAsiaTheme="minorEastAsia" w:cstheme="minorEastAsia"/>
                <w:color w:val="auto"/>
                <w:sz w:val="21"/>
                <w:szCs w:val="21"/>
                <w:highlight w:val="none"/>
                <w:lang w:eastAsia="zh-CN"/>
              </w:rPr>
              <w:t>）。</w:t>
            </w:r>
          </w:p>
          <w:p>
            <w:pPr>
              <w:pStyle w:val="9"/>
              <w:spacing w:line="240" w:lineRule="auto"/>
              <w:ind w:left="0"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2. </w:t>
            </w:r>
            <w:r>
              <w:rPr>
                <w:rFonts w:hint="eastAsia" w:asciiTheme="minorEastAsia" w:hAnsiTheme="minorEastAsia" w:eastAsiaTheme="minorEastAsia" w:cstheme="minorEastAsia"/>
                <w:color w:val="auto"/>
                <w:kern w:val="2"/>
                <w:sz w:val="21"/>
                <w:szCs w:val="21"/>
                <w:highlight w:val="none"/>
              </w:rPr>
              <w:t>投标人近三年（201</w:t>
            </w:r>
            <w:r>
              <w:rPr>
                <w:rFonts w:hint="eastAsia" w:asciiTheme="minorEastAsia" w:hAnsiTheme="minorEastAsia" w:eastAsiaTheme="minorEastAsia" w:cstheme="minorEastAsia"/>
                <w:color w:val="auto"/>
                <w:kern w:val="2"/>
                <w:sz w:val="21"/>
                <w:szCs w:val="21"/>
                <w:highlight w:val="none"/>
                <w:lang w:val="en-US" w:eastAsia="zh-CN"/>
              </w:rPr>
              <w:t>8</w:t>
            </w:r>
            <w:r>
              <w:rPr>
                <w:rFonts w:hint="eastAsia" w:asciiTheme="minorEastAsia" w:hAnsiTheme="minorEastAsia" w:eastAsiaTheme="minorEastAsia" w:cstheme="minorEastAsia"/>
                <w:color w:val="auto"/>
                <w:kern w:val="2"/>
                <w:sz w:val="21"/>
                <w:szCs w:val="21"/>
                <w:highlight w:val="none"/>
              </w:rPr>
              <w:t>年1月1日至今）有与</w:t>
            </w:r>
            <w:r>
              <w:rPr>
                <w:rFonts w:hint="eastAsia" w:asciiTheme="minorEastAsia" w:hAnsiTheme="minorEastAsia" w:eastAsiaTheme="minorEastAsia" w:cstheme="minorEastAsia"/>
                <w:color w:val="auto"/>
                <w:kern w:val="2"/>
                <w:sz w:val="21"/>
                <w:szCs w:val="21"/>
                <w:highlight w:val="none"/>
                <w:lang w:val="en-US" w:eastAsia="zh-CN"/>
              </w:rPr>
              <w:t>深圳市</w:t>
            </w:r>
            <w:r>
              <w:rPr>
                <w:rFonts w:hint="eastAsia" w:asciiTheme="minorEastAsia" w:hAnsiTheme="minorEastAsia" w:eastAsiaTheme="minorEastAsia" w:cstheme="minorEastAsia"/>
                <w:color w:val="auto"/>
                <w:kern w:val="2"/>
                <w:sz w:val="21"/>
                <w:szCs w:val="21"/>
                <w:highlight w:val="none"/>
              </w:rPr>
              <w:t>三甲医院合作开展服务项目</w:t>
            </w:r>
            <w:r>
              <w:rPr>
                <w:rFonts w:hint="eastAsia" w:asciiTheme="minorEastAsia" w:hAnsiTheme="minorEastAsia" w:eastAsiaTheme="minorEastAsia" w:cstheme="minorEastAsia"/>
                <w:b w:val="0"/>
                <w:bCs w:val="0"/>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rPr>
              <w:t>每个得2分，最高</w:t>
            </w:r>
            <w:r>
              <w:rPr>
                <w:rFonts w:hint="eastAsia" w:asciiTheme="minorEastAsia" w:hAnsiTheme="minorEastAsia" w:eastAsiaTheme="minorEastAsia" w:cstheme="minorEastAsia"/>
                <w:color w:val="auto"/>
                <w:kern w:val="2"/>
                <w:sz w:val="21"/>
                <w:szCs w:val="21"/>
                <w:highlight w:val="none"/>
                <w:lang w:val="en-US" w:eastAsia="zh-CN"/>
              </w:rPr>
              <w:t>6</w:t>
            </w:r>
            <w:r>
              <w:rPr>
                <w:rFonts w:hint="eastAsia" w:asciiTheme="minorEastAsia" w:hAnsiTheme="minorEastAsia" w:eastAsiaTheme="minorEastAsia" w:cstheme="minorEastAsia"/>
                <w:color w:val="auto"/>
                <w:kern w:val="2"/>
                <w:sz w:val="21"/>
                <w:szCs w:val="21"/>
                <w:highlight w:val="none"/>
              </w:rPr>
              <w:t>分。</w:t>
            </w:r>
          </w:p>
          <w:p>
            <w:pPr>
              <w:spacing w:line="24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（二）评分依据： </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1. </w:t>
            </w:r>
            <w:r>
              <w:rPr>
                <w:rFonts w:hint="eastAsia" w:asciiTheme="minorEastAsia" w:hAnsiTheme="minorEastAsia" w:eastAsiaTheme="minorEastAsia" w:cstheme="minorEastAsia"/>
                <w:color w:val="auto"/>
                <w:sz w:val="21"/>
                <w:szCs w:val="21"/>
              </w:rPr>
              <w:t>要求同时提供合同关键信息作为得分依据。</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2. </w:t>
            </w:r>
            <w:r>
              <w:rPr>
                <w:rFonts w:hint="eastAsia" w:asciiTheme="minorEastAsia" w:hAnsiTheme="minorEastAsia" w:eastAsiaTheme="minorEastAsia" w:cstheme="minorEastAsia"/>
                <w:color w:val="auto"/>
                <w:sz w:val="21"/>
                <w:szCs w:val="21"/>
              </w:rPr>
              <w:t>通过合同关键信息无法判断是否得分的，也可以提供能证明得分的其它证明资料，如项目报告或合同甲方出具的证明文件等。</w:t>
            </w:r>
          </w:p>
          <w:p>
            <w:pPr>
              <w:widowControl/>
              <w:spacing w:line="120" w:lineRule="atLeast"/>
              <w:jc w:val="left"/>
              <w:rPr>
                <w:rFonts w:ascii="宋体" w:hAnsi="宋体"/>
                <w:color w:val="auto"/>
                <w:szCs w:val="21"/>
              </w:rPr>
            </w:pPr>
            <w:r>
              <w:rPr>
                <w:rFonts w:hint="eastAsia" w:asciiTheme="minorEastAsia" w:hAnsiTheme="minorEastAsia" w:eastAsiaTheme="minorEastAsia" w:cstheme="minorEastAsia"/>
                <w:color w:val="auto"/>
                <w:sz w:val="21"/>
                <w:szCs w:val="21"/>
                <w:lang w:val="en-US" w:eastAsia="zh-CN"/>
              </w:rPr>
              <w:t xml:space="preserve">3. </w:t>
            </w:r>
            <w:r>
              <w:rPr>
                <w:rFonts w:hint="eastAsia" w:asciiTheme="minorEastAsia" w:hAnsiTheme="minorEastAsia" w:eastAsiaTheme="minorEastAsia" w:cstheme="minorEastAsia"/>
                <w:color w:val="auto"/>
                <w:sz w:val="21"/>
                <w:szCs w:val="21"/>
              </w:rPr>
              <w:t>以上资料均要求提供扫描件，加盖投标人公章，原件备查，不清晰或未提供不得分。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Cs w:val="21"/>
              </w:rPr>
            </w:pPr>
            <w:r>
              <w:rPr>
                <w:rFonts w:hint="eastAsia" w:asciiTheme="minorEastAsia" w:hAnsiTheme="minorEastAsia" w:eastAsiaTheme="minorEastAsia" w:cstheme="minorEastAsia"/>
                <w:b/>
                <w:bCs/>
                <w:color w:val="auto"/>
                <w:sz w:val="21"/>
                <w:szCs w:val="21"/>
              </w:rPr>
              <w:t>履约评价情况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eastAsia" w:ascii="宋体" w:hAnsi="宋体" w:eastAsia="宋体"/>
                <w:color w:val="auto"/>
                <w:szCs w:val="21"/>
                <w:lang w:eastAsia="zh-CN"/>
              </w:rPr>
            </w:pPr>
            <w:r>
              <w:rPr>
                <w:rFonts w:hint="eastAsia" w:ascii="宋体" w:hAnsi="宋体"/>
                <w:szCs w:val="21"/>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（一）评分内容： </w:t>
            </w:r>
          </w:p>
          <w:p>
            <w:pPr>
              <w:spacing w:line="24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根据深圳市政府采购项目履约情况，供应商履约评价出现评价为“差”的本项不得分，未评价为“差”的得5分。</w:t>
            </w:r>
          </w:p>
          <w:p>
            <w:pPr>
              <w:numPr>
                <w:ilvl w:val="0"/>
                <w:numId w:val="3"/>
              </w:numPr>
              <w:spacing w:line="240" w:lineRule="auto"/>
              <w:ind w:left="0" w:leftChars="0"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评分依据：</w:t>
            </w:r>
          </w:p>
          <w:p>
            <w:pPr>
              <w:widowControl/>
              <w:spacing w:line="120" w:lineRule="atLeast"/>
              <w:jc w:val="left"/>
              <w:rPr>
                <w:rFonts w:ascii="宋体" w:hAnsi="宋体"/>
                <w:color w:val="auto"/>
                <w:szCs w:val="21"/>
              </w:rPr>
            </w:pPr>
            <w:r>
              <w:rPr>
                <w:rFonts w:hint="eastAsia" w:asciiTheme="minorEastAsia" w:hAnsiTheme="minorEastAsia" w:eastAsiaTheme="minorEastAsia" w:cstheme="minorEastAsia"/>
                <w:color w:val="auto"/>
                <w:sz w:val="21"/>
                <w:szCs w:val="21"/>
                <w:highlight w:val="none"/>
                <w:lang w:eastAsia="zh-CN"/>
              </w:rPr>
              <w:t>由</w:t>
            </w: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rPr>
              <w:t>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auto"/>
                <w:szCs w:val="21"/>
              </w:rPr>
            </w:pPr>
            <w:r>
              <w:rPr>
                <w:rFonts w:hint="eastAsia" w:asciiTheme="minorEastAsia" w:hAnsiTheme="minorEastAsia" w:eastAsiaTheme="minorEastAsia" w:cstheme="minorEastAsia"/>
                <w:b/>
                <w:bCs/>
                <w:color w:val="auto"/>
                <w:sz w:val="21"/>
                <w:szCs w:val="21"/>
                <w:lang w:val="en-US" w:eastAsia="zh-CN"/>
              </w:rPr>
              <w:t>投标人资格相关情况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hint="default" w:ascii="宋体" w:hAnsi="宋体" w:eastAsia="宋体"/>
                <w:color w:val="auto"/>
                <w:szCs w:val="21"/>
                <w:lang w:val="en-US" w:eastAsia="zh-CN"/>
              </w:rPr>
            </w:pPr>
            <w:r>
              <w:rPr>
                <w:rFonts w:hint="eastAsia" w:ascii="宋体" w:hAnsi="宋体"/>
                <w:szCs w:val="21"/>
                <w:lang w:val="en-US" w:eastAsia="zh-CN"/>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（一）评分内容：为保障项目更好实施，对项目实施投标人服务质量、配合度以及信息传达及时度进行评价： </w:t>
            </w:r>
          </w:p>
          <w:p>
            <w:pPr>
              <w:numPr>
                <w:ilvl w:val="0"/>
                <w:numId w:val="4"/>
              </w:numPr>
              <w:spacing w:line="240" w:lineRule="auto"/>
              <w:ind w:left="0" w:leftChars="0"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投</w:t>
            </w:r>
            <w:r>
              <w:rPr>
                <w:rFonts w:hint="eastAsia" w:asciiTheme="minorEastAsia" w:hAnsiTheme="minorEastAsia" w:eastAsiaTheme="minorEastAsia" w:cstheme="minorEastAsia"/>
                <w:color w:val="auto"/>
                <w:sz w:val="21"/>
                <w:szCs w:val="21"/>
                <w:highlight w:val="none"/>
              </w:rPr>
              <w:t>标人是在</w:t>
            </w:r>
            <w:r>
              <w:rPr>
                <w:rFonts w:hint="eastAsia" w:asciiTheme="minorEastAsia" w:hAnsiTheme="minorEastAsia" w:eastAsiaTheme="minorEastAsia" w:cstheme="minorEastAsia"/>
                <w:color w:val="auto"/>
                <w:sz w:val="21"/>
                <w:szCs w:val="21"/>
                <w:highlight w:val="none"/>
                <w:lang w:val="en-US" w:eastAsia="zh-CN"/>
              </w:rPr>
              <w:t>深圳市</w:t>
            </w:r>
            <w:r>
              <w:rPr>
                <w:rFonts w:hint="eastAsia" w:asciiTheme="minorEastAsia" w:hAnsiTheme="minorEastAsia" w:eastAsiaTheme="minorEastAsia" w:cstheme="minorEastAsia"/>
                <w:color w:val="auto"/>
                <w:sz w:val="21"/>
                <w:szCs w:val="21"/>
                <w:highlight w:val="none"/>
              </w:rPr>
              <w:t>民政局等相关政府职能部门合法登记的</w:t>
            </w:r>
            <w:r>
              <w:rPr>
                <w:rFonts w:hint="eastAsia" w:asciiTheme="minorEastAsia" w:hAnsiTheme="minorEastAsia" w:eastAsiaTheme="minorEastAsia" w:cstheme="minorEastAsia"/>
                <w:color w:val="auto"/>
                <w:sz w:val="21"/>
                <w:szCs w:val="21"/>
                <w:highlight w:val="none"/>
                <w:lang w:val="en-US" w:eastAsia="zh-CN"/>
              </w:rPr>
              <w:t>市级</w:t>
            </w:r>
            <w:r>
              <w:rPr>
                <w:rFonts w:hint="eastAsia" w:asciiTheme="minorEastAsia" w:hAnsiTheme="minorEastAsia" w:eastAsiaTheme="minorEastAsia" w:cstheme="minorEastAsia"/>
                <w:color w:val="auto"/>
                <w:sz w:val="21"/>
                <w:szCs w:val="21"/>
                <w:highlight w:val="none"/>
              </w:rPr>
              <w:t>民办非企业，</w:t>
            </w:r>
            <w:r>
              <w:rPr>
                <w:rFonts w:hint="eastAsia" w:asciiTheme="minorEastAsia" w:hAnsiTheme="minorEastAsia" w:eastAsiaTheme="minorEastAsia" w:cstheme="minorEastAsia"/>
                <w:color w:val="auto"/>
                <w:sz w:val="21"/>
                <w:szCs w:val="21"/>
                <w:highlight w:val="none"/>
                <w:lang w:eastAsia="zh-CN"/>
              </w:rPr>
              <w:t>且</w:t>
            </w:r>
            <w:r>
              <w:rPr>
                <w:rFonts w:hint="eastAsia" w:asciiTheme="minorEastAsia" w:hAnsiTheme="minorEastAsia" w:eastAsiaTheme="minorEastAsia" w:cstheme="minorEastAsia"/>
                <w:color w:val="auto"/>
                <w:sz w:val="21"/>
                <w:szCs w:val="21"/>
                <w:highlight w:val="none"/>
              </w:rPr>
              <w:t>登记满三年，得4分</w:t>
            </w:r>
            <w:r>
              <w:rPr>
                <w:rFonts w:hint="eastAsia" w:asciiTheme="minorEastAsia" w:hAnsiTheme="minorEastAsia" w:eastAsiaTheme="minorEastAsia" w:cstheme="minorEastAsia"/>
                <w:color w:val="auto"/>
                <w:sz w:val="21"/>
                <w:szCs w:val="21"/>
                <w:highlight w:val="none"/>
                <w:lang w:eastAsia="zh-CN"/>
              </w:rPr>
              <w:t>。</w:t>
            </w:r>
          </w:p>
          <w:p>
            <w:pPr>
              <w:numPr>
                <w:ilvl w:val="0"/>
                <w:numId w:val="4"/>
              </w:numPr>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投</w:t>
            </w:r>
            <w:r>
              <w:rPr>
                <w:rFonts w:hint="eastAsia" w:asciiTheme="minorEastAsia" w:hAnsiTheme="minorEastAsia" w:eastAsiaTheme="minorEastAsia" w:cstheme="minorEastAsia"/>
                <w:color w:val="auto"/>
                <w:sz w:val="21"/>
                <w:szCs w:val="21"/>
              </w:rPr>
              <w:t>标人有</w:t>
            </w:r>
            <w:r>
              <w:rPr>
                <w:rFonts w:hint="eastAsia" w:asciiTheme="minorEastAsia" w:hAnsiTheme="minorEastAsia" w:eastAsiaTheme="minorEastAsia" w:cstheme="minorEastAsia"/>
                <w:color w:val="auto"/>
                <w:sz w:val="21"/>
                <w:szCs w:val="21"/>
                <w:lang w:val="en-US" w:eastAsia="zh-CN"/>
              </w:rPr>
              <w:t>固定的</w:t>
            </w:r>
            <w:r>
              <w:rPr>
                <w:rFonts w:hint="eastAsia" w:asciiTheme="minorEastAsia" w:hAnsiTheme="minorEastAsia" w:eastAsiaTheme="minorEastAsia" w:cstheme="minorEastAsia"/>
                <w:color w:val="auto"/>
                <w:sz w:val="21"/>
                <w:szCs w:val="21"/>
              </w:rPr>
              <w:t>办公场所</w:t>
            </w:r>
            <w:r>
              <w:rPr>
                <w:rFonts w:hint="eastAsia" w:asciiTheme="minorEastAsia" w:hAnsiTheme="minorEastAsia" w:eastAsiaTheme="minorEastAsia" w:cstheme="minorEastAsia"/>
                <w:color w:val="auto"/>
                <w:sz w:val="21"/>
                <w:szCs w:val="21"/>
                <w:lang w:eastAsia="zh-CN"/>
              </w:rPr>
              <w:t>的得</w:t>
            </w:r>
            <w:r>
              <w:rPr>
                <w:rFonts w:hint="eastAsia" w:asciiTheme="minorEastAsia" w:hAnsiTheme="minorEastAsia" w:eastAsiaTheme="minorEastAsia" w:cstheme="minorEastAsia"/>
                <w:color w:val="auto"/>
                <w:sz w:val="21"/>
                <w:szCs w:val="21"/>
              </w:rPr>
              <w:t>3分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自有需提供产权证明，租赁需提供租赁合同</w:t>
            </w:r>
            <w:r>
              <w:rPr>
                <w:rFonts w:hint="eastAsia" w:asciiTheme="minorEastAsia" w:hAnsiTheme="minorEastAsia" w:eastAsiaTheme="minorEastAsia" w:cstheme="minorEastAsia"/>
                <w:color w:val="auto"/>
                <w:sz w:val="21"/>
                <w:szCs w:val="21"/>
                <w:lang w:eastAsia="zh-CN"/>
              </w:rPr>
              <w:t>）。</w:t>
            </w:r>
          </w:p>
          <w:p>
            <w:pPr>
              <w:numPr>
                <w:ilvl w:val="0"/>
                <w:numId w:val="4"/>
              </w:numPr>
              <w:spacing w:line="240" w:lineRule="auto"/>
              <w:ind w:left="0" w:leftChars="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连续三年年度年检合格的，得3分</w:t>
            </w:r>
            <w:r>
              <w:rPr>
                <w:rFonts w:hint="eastAsia" w:asciiTheme="minorEastAsia" w:hAnsiTheme="minorEastAsia" w:eastAsiaTheme="minorEastAsia" w:cstheme="minorEastAsia"/>
                <w:color w:val="auto"/>
                <w:sz w:val="21"/>
                <w:szCs w:val="21"/>
                <w:lang w:eastAsia="zh-CN"/>
              </w:rPr>
              <w:t>。</w:t>
            </w:r>
          </w:p>
          <w:p>
            <w:pPr>
              <w:numPr>
                <w:ilvl w:val="0"/>
                <w:numId w:val="0"/>
              </w:numPr>
              <w:spacing w:line="24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（二）</w:t>
            </w:r>
            <w:r>
              <w:rPr>
                <w:rFonts w:hint="eastAsia" w:asciiTheme="minorEastAsia" w:hAnsiTheme="minorEastAsia" w:eastAsiaTheme="minorEastAsia" w:cstheme="minorEastAsia"/>
                <w:color w:val="auto"/>
                <w:sz w:val="21"/>
                <w:szCs w:val="21"/>
              </w:rPr>
              <w:t>评分依据：</w:t>
            </w:r>
          </w:p>
          <w:p>
            <w:pPr>
              <w:spacing w:line="240" w:lineRule="auto"/>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 xml:space="preserve">1. </w:t>
            </w:r>
            <w:r>
              <w:rPr>
                <w:rFonts w:hint="eastAsia" w:asciiTheme="minorEastAsia" w:hAnsiTheme="minorEastAsia" w:eastAsiaTheme="minorEastAsia" w:cstheme="minorEastAsia"/>
                <w:color w:val="auto"/>
                <w:sz w:val="21"/>
                <w:szCs w:val="21"/>
                <w:lang w:eastAsia="zh-CN"/>
              </w:rPr>
              <w:t>本项</w:t>
            </w:r>
            <w:r>
              <w:rPr>
                <w:rFonts w:hint="eastAsia" w:asciiTheme="minorEastAsia" w:hAnsiTheme="minorEastAsia" w:eastAsiaTheme="minorEastAsia" w:cstheme="minorEastAsia"/>
                <w:color w:val="auto"/>
                <w:sz w:val="21"/>
                <w:szCs w:val="21"/>
              </w:rPr>
              <w:t>最高得 10分，以有效民办非企业单位登记证书中“住所”与合同地址相符，登记证书年检记录为准，未按要求提供或提供不清晰、无法判断的及年检不合格的不得分</w:t>
            </w:r>
            <w:r>
              <w:rPr>
                <w:rFonts w:hint="eastAsia" w:asciiTheme="minorEastAsia" w:hAnsiTheme="minorEastAsia" w:eastAsiaTheme="minorEastAsia" w:cstheme="minorEastAsia"/>
                <w:color w:val="auto"/>
                <w:sz w:val="21"/>
                <w:szCs w:val="21"/>
                <w:lang w:eastAsia="zh-CN"/>
              </w:rPr>
              <w:t>。</w:t>
            </w:r>
          </w:p>
          <w:p>
            <w:pPr>
              <w:widowControl/>
              <w:spacing w:line="120" w:lineRule="atLeast"/>
              <w:jc w:val="left"/>
              <w:rPr>
                <w:rFonts w:ascii="宋体" w:hAnsi="宋体"/>
                <w:color w:val="auto"/>
                <w:szCs w:val="21"/>
              </w:rPr>
            </w:pPr>
            <w:r>
              <w:rPr>
                <w:rFonts w:hint="eastAsia" w:asciiTheme="minorEastAsia" w:hAnsiTheme="minorEastAsia" w:eastAsiaTheme="minorEastAsia" w:cstheme="minorEastAsia"/>
                <w:color w:val="auto"/>
                <w:sz w:val="21"/>
                <w:szCs w:val="21"/>
                <w:lang w:val="en-US" w:eastAsia="zh-CN"/>
              </w:rPr>
              <w:t xml:space="preserve">2. </w:t>
            </w:r>
            <w:r>
              <w:rPr>
                <w:rFonts w:hint="eastAsia" w:asciiTheme="minorEastAsia" w:hAnsiTheme="minorEastAsia" w:eastAsiaTheme="minorEastAsia" w:cstheme="minorEastAsia"/>
                <w:color w:val="auto"/>
                <w:sz w:val="21"/>
                <w:szCs w:val="21"/>
              </w:rPr>
              <w:t>以上资料均要求提供扫描件，加盖投标人公章，原件备查。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r>
              <w:rPr>
                <w:rFonts w:hint="eastAsia" w:ascii="宋体" w:hAnsi="宋体"/>
                <w:color w:val="auto"/>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r>
              <w:rPr>
                <w:rFonts w:hint="eastAsia" w:ascii="宋体" w:hAnsi="宋体"/>
                <w:b/>
                <w:color w:val="auto"/>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color w:val="auto"/>
                <w:szCs w:val="21"/>
              </w:rPr>
            </w:pPr>
          </w:p>
        </w:tc>
        <w:tc>
          <w:tcPr>
            <w:tcW w:w="681" w:type="dxa"/>
          </w:tcPr>
          <w:p>
            <w:pPr>
              <w:widowControl/>
              <w:spacing w:line="120" w:lineRule="atLeast"/>
              <w:jc w:val="center"/>
              <w:rPr>
                <w:rFonts w:ascii="宋体" w:hAnsi="宋体"/>
                <w:color w:val="auto"/>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color w:val="auto"/>
                <w:szCs w:val="21"/>
              </w:rPr>
            </w:pPr>
            <w:r>
              <w:rPr>
                <w:rFonts w:hint="eastAsia" w:ascii="宋体" w:hAnsi="宋体"/>
                <w:b/>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评分方式</w:t>
            </w:r>
          </w:p>
        </w:tc>
        <w:tc>
          <w:tcPr>
            <w:tcW w:w="2642" w:type="dxa"/>
            <w:tcBorders>
              <w:top w:val="single" w:color="auto" w:sz="4" w:space="0"/>
              <w:left w:val="single" w:color="auto" w:sz="4" w:space="0"/>
              <w:bottom w:val="single" w:color="auto" w:sz="4" w:space="0"/>
              <w:right w:val="single" w:color="auto" w:sz="4" w:space="0"/>
            </w:tcBorders>
          </w:tcPr>
          <w:p>
            <w:pPr>
              <w:jc w:val="center"/>
              <w:rPr>
                <w:rFonts w:ascii="宋体" w:hAnsi="宋体"/>
                <w:color w:val="auto"/>
                <w:szCs w:val="21"/>
              </w:rPr>
            </w:pPr>
            <w:r>
              <w:rPr>
                <w:rFonts w:hint="eastAsia" w:ascii="宋体" w:hAnsi="宋体"/>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color w:val="auto"/>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专家打分</w:t>
            </w:r>
          </w:p>
        </w:tc>
        <w:tc>
          <w:tcPr>
            <w:tcW w:w="2642"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szCs w:val="21"/>
              </w:rPr>
            </w:pPr>
            <w:r>
              <w:rPr>
                <w:rFonts w:hint="eastAsia" w:ascii="宋体" w:hAnsi="宋体" w:cs="宋体"/>
                <w:color w:val="auto"/>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color w:val="auto"/>
          <w:szCs w:val="21"/>
        </w:rPr>
      </w:pPr>
      <w:bookmarkStart w:id="0" w:name="InsertEnd"/>
      <w:bookmarkEnd w:id="0"/>
    </w:p>
    <w:p>
      <w:pPr>
        <w:spacing w:line="360" w:lineRule="exact"/>
        <w:jc w:val="left"/>
        <w:rPr>
          <w:rFonts w:ascii="宋体" w:hAnsi="宋体"/>
          <w:color w:val="auto"/>
          <w:szCs w:val="21"/>
        </w:rPr>
      </w:pPr>
      <w:r>
        <w:rPr>
          <w:rFonts w:hint="eastAsia" w:ascii="宋体" w:hAnsi="宋体"/>
          <w:color w:val="auto"/>
          <w:szCs w:val="21"/>
        </w:rPr>
        <w:t>说明：</w:t>
      </w:r>
    </w:p>
    <w:p>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pPr>
        <w:spacing w:line="360" w:lineRule="exact"/>
        <w:jc w:val="left"/>
        <w:rPr>
          <w:rFonts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pPr>
        <w:rPr>
          <w:color w:val="auto"/>
        </w:rPr>
      </w:pPr>
    </w:p>
    <w:p>
      <w:pPr>
        <w:spacing w:after="78"/>
        <w:jc w:val="left"/>
        <w:outlineLvl w:val="0"/>
        <w:rPr>
          <w:rFonts w:ascii="宋体" w:hAnsi="宋体"/>
          <w:color w:val="auto"/>
          <w:sz w:val="40"/>
          <w:szCs w:val="40"/>
        </w:rPr>
      </w:pPr>
    </w:p>
    <w:p>
      <w:pPr>
        <w:spacing w:after="78"/>
        <w:jc w:val="left"/>
        <w:outlineLvl w:val="0"/>
        <w:rPr>
          <w:rFonts w:ascii="宋体" w:hAnsi="宋体"/>
          <w:color w:val="auto"/>
          <w:sz w:val="40"/>
          <w:szCs w:val="40"/>
        </w:rPr>
      </w:pPr>
    </w:p>
    <w:p>
      <w:pPr>
        <w:rPr>
          <w:rFonts w:ascii="宋体" w:hAnsi="宋体"/>
          <w:color w:val="auto"/>
          <w:sz w:val="40"/>
          <w:szCs w:val="40"/>
        </w:rPr>
      </w:pPr>
      <w:r>
        <w:rPr>
          <w:rFonts w:ascii="宋体" w:hAnsi="宋体"/>
          <w:color w:val="auto"/>
          <w:sz w:val="40"/>
          <w:szCs w:val="40"/>
        </w:rPr>
        <w:br w:type="page"/>
      </w:r>
    </w:p>
    <w:p>
      <w:pPr>
        <w:spacing w:after="78"/>
        <w:jc w:val="left"/>
        <w:outlineLvl w:val="0"/>
        <w:rPr>
          <w:rFonts w:ascii="宋体" w:hAnsi="宋体"/>
          <w:color w:val="auto"/>
          <w:sz w:val="40"/>
          <w:szCs w:val="40"/>
        </w:rPr>
      </w:pPr>
      <w:r>
        <w:rPr>
          <w:rFonts w:hint="eastAsia" w:ascii="宋体" w:hAnsi="宋体"/>
          <w:color w:val="auto"/>
          <w:sz w:val="40"/>
          <w:szCs w:val="40"/>
        </w:rPr>
        <w:t>项目：总预算</w:t>
      </w:r>
      <w:r>
        <w:rPr>
          <w:rFonts w:hint="eastAsia" w:ascii="宋体" w:hAnsi="宋体"/>
          <w:color w:val="auto"/>
          <w:sz w:val="40"/>
          <w:szCs w:val="40"/>
          <w:lang w:val="en-US" w:eastAsia="zh-CN"/>
        </w:rPr>
        <w:t>13</w:t>
      </w:r>
      <w:r>
        <w:rPr>
          <w:rFonts w:hint="eastAsia" w:ascii="宋体" w:hAnsi="宋体"/>
          <w:color w:val="auto"/>
          <w:sz w:val="40"/>
          <w:szCs w:val="40"/>
        </w:rPr>
        <w:t>万元</w:t>
      </w:r>
    </w:p>
    <w:tbl>
      <w:tblPr>
        <w:tblStyle w:val="13"/>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tcPr>
          <w:p>
            <w:pPr>
              <w:spacing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项目名称</w:t>
            </w:r>
          </w:p>
        </w:tc>
        <w:tc>
          <w:tcPr>
            <w:tcW w:w="7750" w:type="dxa"/>
            <w:tcBorders>
              <w:top w:val="single" w:color="auto" w:sz="4" w:space="0"/>
              <w:left w:val="single" w:color="auto" w:sz="4" w:space="0"/>
              <w:bottom w:val="single" w:color="auto" w:sz="4" w:space="0"/>
              <w:right w:val="single" w:color="auto" w:sz="4" w:space="0"/>
            </w:tcBorders>
          </w:tcPr>
          <w:p>
            <w:pPr>
              <w:spacing w:line="24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购买爱医吧医务社工服务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用途</w:t>
            </w:r>
          </w:p>
        </w:tc>
        <w:tc>
          <w:tcPr>
            <w:tcW w:w="7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用于购买爱医吧医务社工服务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服务</w:t>
            </w:r>
            <w:r>
              <w:rPr>
                <w:rFonts w:hint="eastAsia" w:asciiTheme="minorEastAsia" w:hAnsiTheme="minorEastAsia" w:eastAsiaTheme="minorEastAsia" w:cstheme="minorEastAsia"/>
                <w:color w:val="auto"/>
                <w:sz w:val="21"/>
                <w:szCs w:val="21"/>
              </w:rPr>
              <w:t>内容</w:t>
            </w:r>
          </w:p>
        </w:tc>
        <w:tc>
          <w:tcPr>
            <w:tcW w:w="7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(1)自助休闲服务；(2)舒缓减压沙龙服务；(3)专业减压服务；(4)人文课堂；(5)科室场地预约服务；(6)其他回应甲方医务人员需求的服务。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3"/>
              <w:tblW w:w="7766" w:type="dxa"/>
              <w:jc w:val="center"/>
              <w:tblLayout w:type="fixed"/>
              <w:tblCellMar>
                <w:top w:w="0" w:type="dxa"/>
                <w:left w:w="108" w:type="dxa"/>
                <w:bottom w:w="0" w:type="dxa"/>
                <w:right w:w="108" w:type="dxa"/>
              </w:tblCellMar>
            </w:tblPr>
            <w:tblGrid>
              <w:gridCol w:w="7766"/>
            </w:tblGrid>
            <w:tr>
              <w:tblPrEx>
                <w:tblCellMar>
                  <w:top w:w="0" w:type="dxa"/>
                  <w:left w:w="108" w:type="dxa"/>
                  <w:bottom w:w="0" w:type="dxa"/>
                  <w:right w:w="108" w:type="dxa"/>
                </w:tblCellMar>
              </w:tblPrEx>
              <w:trPr>
                <w:jc w:val="center"/>
              </w:trPr>
              <w:tc>
                <w:tcPr>
                  <w:tcW w:w="7766" w:type="dxa"/>
                </w:tcPr>
                <w:p>
                  <w:pPr>
                    <w:spacing w:line="24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服务期限、续签</w:t>
                  </w:r>
                </w:p>
                <w:p>
                  <w:pPr>
                    <w:spacing w:line="24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同有效期为2024年5月16日至2025年5月15日，合同期满前，甲方根据实际情况和业务需求与乙方协商续签事宜，但续签次数不得超过两次，总续期不超过24个月。在合同有效期内，若甲方“爱医吧”项目确定了新的捐赠方，则甲方发出合同终止函，合同终止函一经发出则本合同即时终止。甲、乙双方对此均不承担违约责任。</w:t>
                  </w:r>
                </w:p>
                <w:p>
                  <w:pPr>
                    <w:spacing w:line="24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支付方式</w:t>
                  </w:r>
                </w:p>
                <w:p>
                  <w:pPr>
                    <w:spacing w:line="24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甲方根据实际情况按月拨付；</w:t>
                  </w:r>
                </w:p>
                <w:p>
                  <w:pPr>
                    <w:spacing w:line="24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default" w:asciiTheme="minorEastAsia" w:hAnsiTheme="minorEastAsia" w:eastAsiaTheme="minorEastAsia" w:cstheme="minorEastAsia"/>
                      <w:color w:val="auto"/>
                      <w:sz w:val="21"/>
                      <w:szCs w:val="21"/>
                      <w:lang w:val="en-US" w:eastAsia="zh-CN"/>
                    </w:rPr>
                    <w:t>合同签订后10个工作日内，甲方以转账的方式拨付第一个月的服务费用到乙方指定账号；</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lang w:val="en-US" w:eastAsia="zh-CN"/>
                    </w:rPr>
                    <w:t>本合同期内，甲方在每月15日前，以转账的方式拨付当月服务费用到乙方指定账号(第一个月除外)。</w:t>
                  </w:r>
                </w:p>
              </w:tc>
            </w:tr>
          </w:tbl>
          <w:p>
            <w:pPr>
              <w:spacing w:line="240" w:lineRule="auto"/>
              <w:ind w:firstLine="420" w:firstLineChars="200"/>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w:t>
            </w:r>
          </w:p>
        </w:tc>
        <w:tc>
          <w:tcPr>
            <w:tcW w:w="7750" w:type="dxa"/>
            <w:tcBorders>
              <w:top w:val="single" w:color="auto" w:sz="4" w:space="0"/>
              <w:left w:val="single" w:color="auto" w:sz="4" w:space="0"/>
              <w:bottom w:val="single" w:color="auto" w:sz="4" w:space="0"/>
              <w:right w:val="single" w:color="auto" w:sz="4" w:space="0"/>
            </w:tcBorders>
            <w:vAlign w:val="top"/>
          </w:tcPr>
          <w:p>
            <w:pPr>
              <w:spacing w:line="24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实施方案：需要较高的完善程度，并且能满足服务需求；</w:t>
            </w:r>
          </w:p>
          <w:p>
            <w:pPr>
              <w:spacing w:line="24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投标文件</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对项目的质量保障措施</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科学合理可行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对项目完成的服务承诺内容，能保障按招标文件服务内容提供有关的服务；</w:t>
            </w:r>
            <w:r>
              <w:rPr>
                <w:rFonts w:hint="eastAsia" w:asciiTheme="minorEastAsia" w:hAnsiTheme="minorEastAsia" w:eastAsiaTheme="minorEastAsia" w:cstheme="minorEastAsia"/>
                <w:color w:val="auto"/>
                <w:sz w:val="21"/>
                <w:szCs w:val="21"/>
              </w:rPr>
              <w:t>对违约承诺内容，若出现违约现象，投标人承诺承担相应违约责任。</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项目配置人员符合招标文件人员配置要求（须提供具体方案及相应承诺）</w:t>
            </w:r>
            <w:r>
              <w:rPr>
                <w:rFonts w:hint="eastAsia" w:asciiTheme="minorEastAsia" w:hAnsiTheme="minorEastAsia" w:eastAsiaTheme="minorEastAsia" w:cstheme="minorEastAsia"/>
                <w:color w:val="auto"/>
                <w:sz w:val="21"/>
                <w:szCs w:val="21"/>
                <w:lang w:eastAsia="zh-CN"/>
              </w:rPr>
              <w:t>；</w:t>
            </w:r>
          </w:p>
          <w:p>
            <w:pPr>
              <w:spacing w:line="24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投标文件编制质量</w:t>
            </w:r>
            <w:r>
              <w:rPr>
                <w:rFonts w:hint="eastAsia" w:asciiTheme="minorEastAsia" w:hAnsiTheme="minorEastAsia" w:eastAsiaTheme="minorEastAsia" w:cstheme="minorEastAsia"/>
                <w:color w:val="auto"/>
                <w:sz w:val="21"/>
                <w:szCs w:val="21"/>
                <w:lang w:val="en-US" w:eastAsia="zh-CN"/>
              </w:rPr>
              <w:t>需合格。</w:t>
            </w:r>
          </w:p>
        </w:tc>
      </w:tr>
    </w:tbl>
    <w:p>
      <w:pPr>
        <w:widowControl/>
        <w:spacing w:before="100" w:beforeAutospacing="1" w:after="100" w:afterAutospacing="1" w:line="300" w:lineRule="atLeast"/>
        <w:rPr>
          <w:rFonts w:ascii="宋体" w:hAnsi="宋体" w:cs="宋体"/>
          <w:kern w:val="0"/>
          <w:sz w:val="44"/>
          <w:szCs w:val="44"/>
        </w:rPr>
      </w:pPr>
      <w:bookmarkStart w:id="22" w:name="_GoBack"/>
      <w:bookmarkEnd w:id="2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9</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07</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13"/>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vAlign w:val="top"/>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3"/>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spacing w:line="300" w:lineRule="auto"/>
        <w:rPr>
          <w:rFonts w:hint="eastAsia"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ascii="宋体" w:hAnsi="宋体"/>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pPr>
              <w:spacing w:line="360" w:lineRule="auto"/>
              <w:rPr>
                <w:rFonts w:hint="eastAsia"/>
                <w:color w:val="000000"/>
                <w:szCs w:val="21"/>
                <w:u w:val="single"/>
              </w:rPr>
            </w:pPr>
          </w:p>
        </w:tc>
        <w:tc>
          <w:tcPr>
            <w:tcW w:w="1980" w:type="dxa"/>
            <w:vAlign w:val="top"/>
          </w:tcPr>
          <w:p>
            <w:pPr>
              <w:spacing w:line="360" w:lineRule="auto"/>
              <w:rPr>
                <w:rFonts w:hint="eastAsia"/>
                <w:color w:val="000000"/>
                <w:szCs w:val="21"/>
                <w:u w:val="single"/>
              </w:rPr>
            </w:pPr>
          </w:p>
        </w:tc>
        <w:tc>
          <w:tcPr>
            <w:tcW w:w="1832" w:type="dxa"/>
            <w:vAlign w:val="top"/>
          </w:tcPr>
          <w:p>
            <w:pPr>
              <w:spacing w:line="360" w:lineRule="auto"/>
              <w:rPr>
                <w:rFonts w:hint="eastAsia"/>
                <w:color w:val="000000"/>
                <w:szCs w:val="21"/>
                <w:u w:val="single"/>
              </w:rPr>
            </w:pPr>
          </w:p>
        </w:tc>
        <w:tc>
          <w:tcPr>
            <w:tcW w:w="1675" w:type="dxa"/>
            <w:vAlign w:val="top"/>
          </w:tcPr>
          <w:p>
            <w:pPr>
              <w:spacing w:line="360" w:lineRule="auto"/>
              <w:rPr>
                <w:rFonts w:hint="eastAsia"/>
                <w:color w:val="000000"/>
                <w:szCs w:val="21"/>
                <w:u w:val="single"/>
              </w:rPr>
            </w:pPr>
          </w:p>
        </w:tc>
        <w:tc>
          <w:tcPr>
            <w:tcW w:w="1673" w:type="dxa"/>
            <w:vAlign w:val="top"/>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pPr>
              <w:rPr>
                <w:rFonts w:hint="eastAsia" w:ascii="宋体" w:hAnsi="宋体"/>
                <w:color w:val="000000"/>
                <w:szCs w:val="21"/>
              </w:rPr>
            </w:pPr>
          </w:p>
        </w:tc>
        <w:tc>
          <w:tcPr>
            <w:tcW w:w="981" w:type="dxa"/>
            <w:vAlign w:val="top"/>
          </w:tcPr>
          <w:p>
            <w:pPr>
              <w:rPr>
                <w:rFonts w:hint="eastAsia" w:ascii="宋体" w:hAnsi="宋体"/>
                <w:color w:val="000000"/>
                <w:szCs w:val="21"/>
              </w:rPr>
            </w:pPr>
          </w:p>
        </w:tc>
        <w:tc>
          <w:tcPr>
            <w:tcW w:w="976" w:type="dxa"/>
            <w:vAlign w:val="top"/>
          </w:tcPr>
          <w:p>
            <w:pPr>
              <w:rPr>
                <w:rFonts w:hint="eastAsia" w:ascii="宋体" w:hAnsi="宋体"/>
                <w:color w:val="000000"/>
                <w:szCs w:val="21"/>
              </w:rPr>
            </w:pPr>
          </w:p>
        </w:tc>
        <w:tc>
          <w:tcPr>
            <w:tcW w:w="1501" w:type="dxa"/>
            <w:vAlign w:val="top"/>
          </w:tcPr>
          <w:p>
            <w:pPr>
              <w:rPr>
                <w:rFonts w:hint="eastAsia" w:ascii="宋体" w:hAnsi="宋体"/>
                <w:color w:val="000000"/>
                <w:szCs w:val="21"/>
              </w:rPr>
            </w:pPr>
          </w:p>
        </w:tc>
        <w:tc>
          <w:tcPr>
            <w:tcW w:w="785" w:type="dxa"/>
            <w:vAlign w:val="top"/>
          </w:tcPr>
          <w:p>
            <w:pPr>
              <w:rPr>
                <w:rFonts w:hint="eastAsia" w:ascii="宋体" w:hAnsi="宋体"/>
                <w:color w:val="000000"/>
                <w:szCs w:val="21"/>
              </w:rPr>
            </w:pPr>
          </w:p>
        </w:tc>
        <w:tc>
          <w:tcPr>
            <w:tcW w:w="786" w:type="dxa"/>
            <w:vAlign w:val="top"/>
          </w:tcPr>
          <w:p>
            <w:pPr>
              <w:rPr>
                <w:rFonts w:hint="eastAsia" w:ascii="宋体" w:hAnsi="宋体"/>
                <w:color w:val="000000"/>
                <w:szCs w:val="21"/>
              </w:rPr>
            </w:pPr>
          </w:p>
        </w:tc>
        <w:tc>
          <w:tcPr>
            <w:tcW w:w="1187" w:type="dxa"/>
            <w:vAlign w:val="top"/>
          </w:tcPr>
          <w:p>
            <w:pPr>
              <w:rPr>
                <w:rFonts w:hint="eastAsia" w:ascii="宋体" w:hAnsi="宋体"/>
                <w:color w:val="000000"/>
                <w:szCs w:val="21"/>
              </w:rPr>
            </w:pPr>
          </w:p>
        </w:tc>
        <w:tc>
          <w:tcPr>
            <w:tcW w:w="1528" w:type="dxa"/>
            <w:vAlign w:val="top"/>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73521619"/>
      <w:bookmarkStart w:id="10" w:name="_Toc73521707"/>
      <w:bookmarkStart w:id="11" w:name="_Toc101074904"/>
      <w:bookmarkStart w:id="12" w:name="_Toc10005247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101074905"/>
      <w:bookmarkStart w:id="15" w:name="_Toc73521708"/>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401658"/>
      <w:bookmarkStart w:id="19" w:name="_Toc201742861"/>
      <w:bookmarkStart w:id="20" w:name="_Toc201743116"/>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pPr>
        <w:rPr>
          <w:rFonts w:hint="eastAsia"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5"/>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5"/>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5"/>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5"/>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5"/>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5"/>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5"/>
        </w:numPr>
        <w:spacing w:line="360" w:lineRule="auto"/>
        <w:rPr>
          <w:rFonts w:ascii="宋体" w:hAnsi="宋体"/>
          <w:sz w:val="24"/>
          <w:szCs w:val="24"/>
        </w:rPr>
      </w:pPr>
      <w:r>
        <w:rPr>
          <w:rFonts w:hint="eastAsia" w:ascii="宋体" w:hAnsi="宋体"/>
          <w:sz w:val="24"/>
          <w:szCs w:val="24"/>
        </w:rPr>
        <w:t>恶意投诉的；</w:t>
      </w:r>
    </w:p>
    <w:p>
      <w:pPr>
        <w:numPr>
          <w:ilvl w:val="1"/>
          <w:numId w:val="5"/>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5"/>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5"/>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8278" w:y="-31"/>
      <w:rPr>
        <w:rStyle w:val="17"/>
      </w:rPr>
    </w:pPr>
    <w:r>
      <w:fldChar w:fldCharType="begin"/>
    </w:r>
    <w:r>
      <w:rPr>
        <w:rStyle w:val="17"/>
      </w:rPr>
      <w:instrText xml:space="preserve">PAGE  </w:instrText>
    </w:r>
    <w:r>
      <w:fldChar w:fldCharType="separate"/>
    </w:r>
    <w:r>
      <w:rPr>
        <w:rStyle w:val="17"/>
      </w:rPr>
      <w:t>14</w:t>
    </w:r>
    <w:r>
      <w:fldChar w:fldCharType="end"/>
    </w:r>
  </w:p>
  <w:p>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8406"/>
    <w:multiLevelType w:val="singleLevel"/>
    <w:tmpl w:val="BD2C8406"/>
    <w:lvl w:ilvl="0" w:tentative="0">
      <w:start w:val="2"/>
      <w:numFmt w:val="chineseCounting"/>
      <w:suff w:val="nothing"/>
      <w:lvlText w:val="（%1）"/>
      <w:lvlJc w:val="left"/>
      <w:rPr>
        <w:rFonts w:hint="eastAsia"/>
      </w:rPr>
    </w:lvl>
  </w:abstractNum>
  <w:abstractNum w:abstractNumId="1">
    <w:nsid w:val="E62963B3"/>
    <w:multiLevelType w:val="singleLevel"/>
    <w:tmpl w:val="E62963B3"/>
    <w:lvl w:ilvl="0" w:tentative="0">
      <w:start w:val="1"/>
      <w:numFmt w:val="decimal"/>
      <w:suff w:val="space"/>
      <w:lvlText w:val="%1."/>
      <w:lvlJc w:val="left"/>
    </w:lvl>
  </w:abstractNum>
  <w:abstractNum w:abstractNumId="2">
    <w:nsid w:val="00C42082"/>
    <w:multiLevelType w:val="singleLevel"/>
    <w:tmpl w:val="00C42082"/>
    <w:lvl w:ilvl="0" w:tentative="0">
      <w:start w:val="1"/>
      <w:numFmt w:val="decimal"/>
      <w:suff w:val="space"/>
      <w:lvlText w:val="%1."/>
      <w:lvlJc w:val="left"/>
    </w:lvl>
  </w:abstractNum>
  <w:abstractNum w:abstractNumId="3">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23438E"/>
    <w:multiLevelType w:val="singleLevel"/>
    <w:tmpl w:val="1923438E"/>
    <w:lvl w:ilvl="0" w:tentative="0">
      <w:start w:val="1"/>
      <w:numFmt w:val="decimal"/>
      <w:suff w:val="space"/>
      <w:lvlText w:val="%1."/>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EC8245F"/>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6D20986"/>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autoRedefine/>
    <w:qFormat/>
    <w:uiPriority w:val="0"/>
    <w:pPr>
      <w:spacing w:before="240" w:after="240"/>
      <w:outlineLvl w:val="2"/>
    </w:pPr>
    <w:rPr>
      <w:b/>
      <w:sz w:val="24"/>
    </w:rPr>
  </w:style>
  <w:style w:type="character" w:default="1" w:styleId="15">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spacing w:after="120"/>
    </w:pPr>
    <w:rPr>
      <w:kern w:val="0"/>
      <w:sz w:val="20"/>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Plain Text"/>
    <w:basedOn w:val="1"/>
    <w:link w:val="20"/>
    <w:autoRedefine/>
    <w:qFormat/>
    <w:uiPriority w:val="0"/>
    <w:rPr>
      <w:rFonts w:ascii="宋体" w:hAnsi="Courier New" w:cs="Courier New"/>
      <w:szCs w:val="21"/>
    </w:rPr>
  </w:style>
  <w:style w:type="paragraph" w:styleId="8">
    <w:name w:val="Date"/>
    <w:basedOn w:val="1"/>
    <w:next w:val="1"/>
    <w:autoRedefine/>
    <w:qFormat/>
    <w:uiPriority w:val="0"/>
    <w:rPr>
      <w:szCs w:val="20"/>
    </w:rPr>
  </w:style>
  <w:style w:type="paragraph" w:styleId="9">
    <w:name w:val="Body Text Indent 2"/>
    <w:basedOn w:val="1"/>
    <w:autoRedefine/>
    <w:qFormat/>
    <w:uiPriority w:val="0"/>
    <w:pPr>
      <w:spacing w:line="360" w:lineRule="auto"/>
      <w:ind w:left="502" w:hanging="502" w:hangingChars="276"/>
    </w:pPr>
    <w:rPr>
      <w:rFonts w:ascii="仿宋_GB2312"/>
      <w:kern w:val="0"/>
      <w:sz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table" w:styleId="14">
    <w:name w:val="Table Grid"/>
    <w:basedOn w:val="13"/>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page number"/>
    <w:basedOn w:val="15"/>
    <w:autoRedefine/>
    <w:semiHidden/>
    <w:qFormat/>
    <w:uiPriority w:val="0"/>
  </w:style>
  <w:style w:type="character" w:styleId="18">
    <w:name w:val="Hyperlink"/>
    <w:basedOn w:val="15"/>
    <w:autoRedefine/>
    <w:qFormat/>
    <w:uiPriority w:val="0"/>
    <w:rPr>
      <w:color w:val="0000FF"/>
      <w:u w:val="single"/>
    </w:rPr>
  </w:style>
  <w:style w:type="character" w:customStyle="1" w:styleId="19">
    <w:name w:val="标题 3 Char"/>
    <w:basedOn w:val="15"/>
    <w:link w:val="4"/>
    <w:autoRedefine/>
    <w:qFormat/>
    <w:uiPriority w:val="0"/>
    <w:rPr>
      <w:b/>
      <w:kern w:val="2"/>
      <w:sz w:val="24"/>
    </w:rPr>
  </w:style>
  <w:style w:type="character" w:customStyle="1" w:styleId="20">
    <w:name w:val="纯文本 Char"/>
    <w:basedOn w:val="15"/>
    <w:link w:val="7"/>
    <w:autoRedefine/>
    <w:qFormat/>
    <w:uiPriority w:val="0"/>
    <w:rPr>
      <w:rFonts w:ascii="宋体" w:hAnsi="Courier New" w:cs="Courier New"/>
      <w:kern w:val="2"/>
      <w:sz w:val="21"/>
      <w:szCs w:val="21"/>
    </w:rPr>
  </w:style>
  <w:style w:type="paragraph" w:customStyle="1" w:styleId="21">
    <w:name w:val="Char"/>
    <w:basedOn w:val="1"/>
    <w:autoRedefine/>
    <w:qFormat/>
    <w:uiPriority w:val="0"/>
    <w:rPr>
      <w:rFonts w:ascii="仿宋_GB2312" w:eastAsia="仿宋_GB2312"/>
      <w:b/>
      <w:sz w:val="32"/>
      <w:szCs w:val="32"/>
    </w:rPr>
  </w:style>
  <w:style w:type="paragraph" w:customStyle="1" w:styleId="22">
    <w:name w:val="样式 (西文) 宋体 行距: 1.5 倍行距"/>
    <w:basedOn w:val="1"/>
    <w:autoRedefine/>
    <w:qFormat/>
    <w:uiPriority w:val="0"/>
    <w:pPr>
      <w:spacing w:line="360" w:lineRule="auto"/>
    </w:pPr>
    <w:rPr>
      <w:rFonts w:ascii="宋体" w:hAnsi="宋体" w:cs="宋体"/>
    </w:rPr>
  </w:style>
  <w:style w:type="character" w:customStyle="1" w:styleId="23">
    <w:name w:val="页眉 Char"/>
    <w:basedOn w:val="15"/>
    <w:link w:val="11"/>
    <w:autoRedefine/>
    <w:qFormat/>
    <w:uiPriority w:val="0"/>
    <w:rPr>
      <w:kern w:val="2"/>
      <w:sz w:val="18"/>
      <w:szCs w:val="18"/>
    </w:rPr>
  </w:style>
  <w:style w:type="character" w:customStyle="1" w:styleId="24">
    <w:name w:val="页脚 Char"/>
    <w:basedOn w:val="15"/>
    <w:link w:val="10"/>
    <w:autoRedefine/>
    <w:qFormat/>
    <w:uiPriority w:val="99"/>
    <w:rPr>
      <w:kern w:val="2"/>
      <w:sz w:val="18"/>
      <w:szCs w:val="18"/>
    </w:rPr>
  </w:style>
  <w:style w:type="character" w:customStyle="1" w:styleId="25">
    <w:name w:val="标题 2 Char"/>
    <w:basedOn w:val="15"/>
    <w:link w:val="3"/>
    <w:autoRedefine/>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autoRedefine/>
    <w:qFormat/>
    <w:uiPriority w:val="34"/>
    <w:pPr>
      <w:ind w:firstLine="420" w:firstLineChars="200"/>
    </w:pPr>
    <w:rPr>
      <w:rFonts w:ascii="Calibri" w:hAnsi="Calibri"/>
      <w:szCs w:val="22"/>
    </w:rPr>
  </w:style>
  <w:style w:type="character" w:customStyle="1" w:styleId="27">
    <w:name w:val="标题 1 Char"/>
    <w:basedOn w:val="15"/>
    <w:link w:val="2"/>
    <w:autoRedefine/>
    <w:qFormat/>
    <w:uiPriority w:val="0"/>
    <w:rPr>
      <w:b/>
      <w:bCs/>
      <w:kern w:val="44"/>
      <w:sz w:val="44"/>
      <w:szCs w:val="44"/>
    </w:rPr>
  </w:style>
  <w:style w:type="paragraph" w:customStyle="1" w:styleId="28">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autoRedefine/>
    <w:qFormat/>
    <w:uiPriority w:val="34"/>
    <w:pPr>
      <w:ind w:firstLine="420" w:firstLineChars="200"/>
    </w:pPr>
  </w:style>
  <w:style w:type="paragraph" w:customStyle="1" w:styleId="30">
    <w:name w:val="样式3"/>
    <w:basedOn w:val="1"/>
    <w:autoRedefine/>
    <w:qFormat/>
    <w:uiPriority w:val="0"/>
    <w:pPr>
      <w:spacing w:line="0" w:lineRule="atLeast"/>
      <w:outlineLvl w:val="0"/>
    </w:pPr>
    <w:rPr>
      <w:rFonts w:ascii="宋体" w:hAnsi="Courier New"/>
      <w:sz w:val="28"/>
      <w:szCs w:val="24"/>
    </w:rPr>
  </w:style>
  <w:style w:type="paragraph" w:customStyle="1" w:styleId="31">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autoRedefine/>
    <w:qFormat/>
    <w:uiPriority w:val="99"/>
    <w:pPr>
      <w:jc w:val="center"/>
      <w:outlineLvl w:val="0"/>
    </w:pPr>
    <w:rPr>
      <w:rFonts w:ascii="宋体" w:hAnsi="宋体"/>
      <w:b/>
      <w:sz w:val="28"/>
      <w:szCs w:val="28"/>
    </w:rPr>
  </w:style>
  <w:style w:type="paragraph" w:customStyle="1" w:styleId="33">
    <w:name w:val="列出段落1"/>
    <w:basedOn w:val="1"/>
    <w:autoRedefine/>
    <w:qFormat/>
    <w:uiPriority w:val="99"/>
    <w:pPr>
      <w:ind w:firstLine="420" w:firstLineChars="200"/>
    </w:pPr>
  </w:style>
  <w:style w:type="paragraph" w:customStyle="1" w:styleId="34">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autoRedefine/>
    <w:qFormat/>
    <w:uiPriority w:val="99"/>
    <w:pPr>
      <w:ind w:firstLine="420" w:firstLineChars="200"/>
    </w:pPr>
  </w:style>
  <w:style w:type="paragraph" w:customStyle="1" w:styleId="36">
    <w:name w:val="msolistparagraph"/>
    <w:basedOn w:val="1"/>
    <w:autoRedefine/>
    <w:qFormat/>
    <w:uiPriority w:val="0"/>
    <w:pPr>
      <w:adjustRightInd w:val="0"/>
      <w:snapToGrid w:val="0"/>
      <w:ind w:firstLine="420" w:firstLineChars="200"/>
    </w:pPr>
    <w:rPr>
      <w:sz w:val="28"/>
      <w:szCs w:val="24"/>
    </w:rPr>
  </w:style>
  <w:style w:type="character" w:customStyle="1" w:styleId="37">
    <w:name w:val="font31"/>
    <w:basedOn w:val="15"/>
    <w:autoRedefine/>
    <w:qFormat/>
    <w:uiPriority w:val="0"/>
    <w:rPr>
      <w:rFonts w:hint="eastAsia" w:ascii="宋体" w:hAnsi="宋体" w:eastAsia="宋体" w:cs="Times New Roman"/>
      <w:color w:val="000000"/>
      <w:sz w:val="20"/>
      <w:szCs w:val="20"/>
      <w:u w:val="none"/>
    </w:rPr>
  </w:style>
  <w:style w:type="character" w:customStyle="1" w:styleId="38">
    <w:name w:val="font21"/>
    <w:basedOn w:val="15"/>
    <w:autoRedefine/>
    <w:qFormat/>
    <w:uiPriority w:val="0"/>
    <w:rPr>
      <w:rFonts w:hint="eastAsia" w:ascii="宋体" w:hAnsi="宋体" w:eastAsia="宋体" w:cs="宋体"/>
      <w:color w:val="000000"/>
      <w:sz w:val="18"/>
      <w:szCs w:val="18"/>
      <w:u w:val="none"/>
    </w:rPr>
  </w:style>
  <w:style w:type="paragraph" w:customStyle="1" w:styleId="39">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2020-06-11T00:08:00Z</cp:lastPrinted>
  <dcterms:modified xsi:type="dcterms:W3CDTF">2024-02-27T06:34:51Z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A521FBDC2A7E4899A522CA9E47EF1BA4_12</vt:lpwstr>
  </property>
</Properties>
</file>