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9.3</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default" w:eastAsia="微软雅黑"/>
                <w:color w:val="000000"/>
                <w:sz w:val="22"/>
                <w:szCs w:val="22"/>
                <w:lang w:val="en-US" w:eastAsia="zh-CN"/>
              </w:rPr>
            </w:pPr>
            <w:r>
              <w:rPr>
                <w:rFonts w:hint="eastAsia" w:ascii="微软雅黑" w:hAnsi="微软雅黑" w:eastAsia="微软雅黑"/>
                <w:color w:val="222222"/>
                <w:szCs w:val="21"/>
                <w:shd w:val="clear" w:color="auto" w:fill="F9FEFF"/>
                <w:lang w:val="en-US" w:eastAsia="zh-CN"/>
              </w:rPr>
              <w:t>2024年X射线计算机体层摄影设备（口腔CT）维保服务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color w:val="000000"/>
                <w:sz w:val="22"/>
                <w:szCs w:val="22"/>
              </w:rPr>
            </w:pPr>
            <w:r>
              <w:rPr>
                <w:rFonts w:hint="eastAsia" w:ascii="宋体" w:hAnsi="宋体"/>
                <w:color w:val="000000"/>
                <w:kern w:val="0"/>
                <w:sz w:val="22"/>
              </w:rPr>
              <w:t>New Tom VG年维修保养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pStyle w:val="24"/>
              <w:numPr>
                <w:ilvl w:val="0"/>
                <w:numId w:val="1"/>
              </w:numPr>
              <w:spacing w:line="360" w:lineRule="auto"/>
              <w:ind w:firstLineChars="0"/>
              <w:jc w:val="left"/>
              <w:rPr>
                <w:rFonts w:ascii="宋体" w:hAnsi="宋体" w:cs="宋体"/>
                <w:szCs w:val="21"/>
                <w:u w:val="single"/>
              </w:rPr>
            </w:pPr>
            <w:bookmarkStart w:id="22" w:name="_GoBack"/>
            <w:r>
              <w:rPr>
                <w:rFonts w:hint="eastAsia" w:ascii="宋体" w:hAnsi="宋体" w:cs="宋体"/>
                <w:szCs w:val="21"/>
              </w:rPr>
              <w:t>在保修期内，应保证设备正常运行，每年为所保修设备提供不少于2次的定期维护，使设备机械性能与电器特性各项指标均符合技术要求。</w:t>
            </w:r>
          </w:p>
          <w:p>
            <w:pPr>
              <w:pStyle w:val="24"/>
              <w:numPr>
                <w:ilvl w:val="0"/>
                <w:numId w:val="1"/>
              </w:numPr>
              <w:spacing w:line="360" w:lineRule="auto"/>
              <w:ind w:firstLineChars="0"/>
              <w:jc w:val="left"/>
              <w:rPr>
                <w:rFonts w:ascii="宋体" w:hAnsi="宋体" w:cs="宋体"/>
                <w:szCs w:val="21"/>
              </w:rPr>
            </w:pPr>
            <w:r>
              <w:rPr>
                <w:rFonts w:hint="eastAsia" w:ascii="宋体" w:hAnsi="宋体" w:cs="宋体"/>
                <w:szCs w:val="21"/>
              </w:rPr>
              <w:t>根据医院所需免费升级NNT软件至最新版本；</w:t>
            </w:r>
          </w:p>
          <w:p>
            <w:pPr>
              <w:pStyle w:val="24"/>
              <w:numPr>
                <w:ilvl w:val="0"/>
                <w:numId w:val="1"/>
              </w:numPr>
              <w:spacing w:line="360" w:lineRule="auto"/>
              <w:ind w:firstLineChars="0"/>
              <w:jc w:val="left"/>
              <w:rPr>
                <w:rFonts w:ascii="宋体" w:hAnsi="宋体" w:cs="宋体"/>
                <w:szCs w:val="21"/>
              </w:rPr>
            </w:pPr>
            <w:r>
              <w:rPr>
                <w:rFonts w:hint="eastAsia" w:ascii="宋体" w:hAnsi="宋体" w:cs="宋体"/>
                <w:szCs w:val="21"/>
              </w:rPr>
              <w:t>每年进行一次图像校准，确保图像清晰度；</w:t>
            </w:r>
          </w:p>
          <w:p>
            <w:pPr>
              <w:pStyle w:val="24"/>
              <w:numPr>
                <w:ilvl w:val="0"/>
                <w:numId w:val="1"/>
              </w:numPr>
              <w:spacing w:line="360" w:lineRule="auto"/>
              <w:ind w:firstLineChars="0"/>
              <w:jc w:val="left"/>
              <w:rPr>
                <w:rFonts w:ascii="宋体" w:hAnsi="宋体" w:cs="宋体"/>
                <w:szCs w:val="21"/>
              </w:rPr>
            </w:pPr>
            <w:r>
              <w:rPr>
                <w:rFonts w:hint="eastAsia" w:ascii="宋体" w:hAnsi="宋体" w:cs="宋体"/>
                <w:szCs w:val="21"/>
              </w:rPr>
              <w:t>每年进行一次旋转扫描精度校准；</w:t>
            </w:r>
          </w:p>
          <w:p>
            <w:pPr>
              <w:pStyle w:val="24"/>
              <w:numPr>
                <w:ilvl w:val="0"/>
                <w:numId w:val="1"/>
              </w:numPr>
              <w:spacing w:line="360" w:lineRule="auto"/>
              <w:ind w:firstLineChars="0"/>
              <w:jc w:val="left"/>
              <w:rPr>
                <w:rFonts w:ascii="宋体" w:hAnsi="宋体" w:cs="宋体"/>
                <w:szCs w:val="21"/>
              </w:rPr>
            </w:pPr>
            <w:r>
              <w:rPr>
                <w:rFonts w:hint="eastAsia" w:ascii="宋体" w:hAnsi="宋体" w:cs="宋体"/>
                <w:szCs w:val="21"/>
              </w:rPr>
              <w:t>每年进行X射线球管老练一次；</w:t>
            </w:r>
          </w:p>
          <w:p>
            <w:pPr>
              <w:pStyle w:val="24"/>
              <w:numPr>
                <w:ilvl w:val="0"/>
                <w:numId w:val="1"/>
              </w:numPr>
              <w:spacing w:line="360" w:lineRule="auto"/>
              <w:ind w:firstLineChars="0"/>
              <w:jc w:val="left"/>
              <w:rPr>
                <w:rFonts w:ascii="宋体" w:hAnsi="宋体" w:cs="宋体"/>
                <w:szCs w:val="21"/>
                <w:u w:val="single"/>
              </w:rPr>
            </w:pPr>
            <w:r>
              <w:rPr>
                <w:rFonts w:hint="eastAsia" w:ascii="宋体" w:hAnsi="宋体" w:cs="宋体"/>
                <w:szCs w:val="21"/>
              </w:rPr>
              <w:t>保证响应时间为接到报修电话后两个小时内做出反应；二十四小时内工程师到达现场，因不可抗因素造成的除外（如台风天气、飞机延误等）；</w:t>
            </w:r>
          </w:p>
          <w:p>
            <w:pPr>
              <w:pStyle w:val="24"/>
              <w:numPr>
                <w:ilvl w:val="0"/>
                <w:numId w:val="1"/>
              </w:numPr>
              <w:spacing w:line="360" w:lineRule="auto"/>
              <w:ind w:firstLineChars="0"/>
              <w:jc w:val="left"/>
              <w:rPr>
                <w:rFonts w:ascii="宋体" w:hAnsi="宋体" w:cs="宋体"/>
                <w:szCs w:val="21"/>
                <w:u w:val="single"/>
              </w:rPr>
            </w:pPr>
            <w:r>
              <w:rPr>
                <w:rFonts w:hint="eastAsia" w:ascii="宋体" w:hAnsi="宋体" w:cs="宋体"/>
                <w:szCs w:val="21"/>
              </w:rPr>
              <w:t>承诺甲方开机率为95%，即每年停机不超过18个工作日（每年按330个工作日计算）；</w:t>
            </w:r>
          </w:p>
          <w:p>
            <w:pPr>
              <w:pStyle w:val="24"/>
              <w:numPr>
                <w:ilvl w:val="0"/>
                <w:numId w:val="1"/>
              </w:numPr>
              <w:spacing w:line="360" w:lineRule="auto"/>
              <w:ind w:firstLineChars="0"/>
              <w:jc w:val="left"/>
              <w:rPr>
                <w:rFonts w:ascii="宋体" w:hAnsi="宋体" w:cs="宋体"/>
                <w:szCs w:val="21"/>
                <w:u w:val="single"/>
              </w:rPr>
            </w:pPr>
            <w:r>
              <w:rPr>
                <w:rFonts w:hint="eastAsia" w:ascii="宋体" w:hAnsi="宋体" w:cs="宋体"/>
                <w:szCs w:val="21"/>
              </w:rPr>
              <w:t>承诺每个故障修复时间不超过6个工作日；</w:t>
            </w:r>
          </w:p>
          <w:p>
            <w:pPr>
              <w:pStyle w:val="24"/>
              <w:numPr>
                <w:ilvl w:val="0"/>
                <w:numId w:val="1"/>
              </w:numPr>
              <w:ind w:firstLineChars="0"/>
              <w:rPr>
                <w:rFonts w:ascii="宋体" w:hAnsi="宋体" w:cs="宋体"/>
                <w:szCs w:val="21"/>
              </w:rPr>
            </w:pPr>
            <w:r>
              <w:rPr>
                <w:rFonts w:hint="eastAsia" w:ascii="宋体" w:hAnsi="宋体" w:cs="宋体"/>
                <w:szCs w:val="21"/>
              </w:rPr>
              <w:t>在保修期内机器出现故障，免费维修或更换配件设备至故障完全解决（第三方产品除外）；配件设备必须是原厂(或经过原厂认定的) 的配件设备。更换后的旧的配件设备由服务商回收处理；免费维修或更换配件设备的保修期为1年。</w:t>
            </w:r>
          </w:p>
          <w:p>
            <w:pPr>
              <w:pStyle w:val="24"/>
              <w:numPr>
                <w:ilvl w:val="0"/>
                <w:numId w:val="1"/>
              </w:numPr>
              <w:spacing w:line="360" w:lineRule="auto"/>
              <w:ind w:firstLineChars="0"/>
              <w:jc w:val="left"/>
              <w:rPr>
                <w:rFonts w:ascii="宋体" w:hAnsi="宋体" w:cs="宋体"/>
                <w:szCs w:val="21"/>
                <w:u w:val="single"/>
              </w:rPr>
            </w:pPr>
            <w:r>
              <w:rPr>
                <w:rFonts w:hint="eastAsia" w:ascii="宋体" w:hAnsi="宋体" w:cs="宋体"/>
                <w:szCs w:val="21"/>
              </w:rPr>
              <w:t>保修期内设备整机进行免费维护和更换，（包含但不限于以下主要部件）</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球管</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探测器</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逆变器</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NIM034 X光控制电路板</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PCI总线接口卡</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扫描架驱动电路板</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升降装置</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3FOV准直器</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NIM040功能控制主板</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逆变器控制电路板</w:t>
            </w:r>
          </w:p>
          <w:bookmarkEnd w:id="22"/>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旋转阳极控制电路板</w:t>
            </w:r>
          </w:p>
          <w:p>
            <w:pPr>
              <w:pStyle w:val="24"/>
              <w:numPr>
                <w:ilvl w:val="1"/>
                <w:numId w:val="1"/>
              </w:numPr>
              <w:spacing w:line="360" w:lineRule="auto"/>
              <w:ind w:firstLineChars="0"/>
              <w:jc w:val="left"/>
              <w:rPr>
                <w:rFonts w:ascii="宋体" w:hAnsi="宋体" w:cs="宋体"/>
                <w:szCs w:val="21"/>
              </w:rPr>
            </w:pPr>
            <w:r>
              <w:rPr>
                <w:rFonts w:hint="eastAsia" w:ascii="宋体" w:hAnsi="宋体" w:cs="宋体"/>
                <w:szCs w:val="21"/>
              </w:rPr>
              <w:t>球馆灯丝电路板</w:t>
            </w:r>
          </w:p>
          <w:p>
            <w:pPr>
              <w:numPr>
                <w:ilvl w:val="255"/>
                <w:numId w:val="0"/>
              </w:numPr>
              <w:spacing w:after="78"/>
              <w:rPr>
                <w:rFonts w:ascii="宋体" w:hAnsi="宋体" w:cs="宋体"/>
                <w:szCs w:val="21"/>
              </w:rPr>
            </w:pPr>
            <w:r>
              <w:rPr>
                <w:rFonts w:hint="eastAsia" w:ascii="宋体" w:hAnsi="宋体" w:cs="宋体"/>
                <w:szCs w:val="21"/>
              </w:rPr>
              <w:t>保修期内如与设备相关的其他第三方设备因第三方设备导致该设备无法使用时，请配合第三方设备厂家尽快做出维修方案；</w:t>
            </w:r>
          </w:p>
          <w:p>
            <w:pPr>
              <w:numPr>
                <w:ilvl w:val="255"/>
                <w:numId w:val="0"/>
              </w:numPr>
              <w:spacing w:after="78"/>
              <w:ind w:left="0" w:leftChars="0" w:firstLine="0" w:firstLineChars="0"/>
              <w:rPr>
                <w:rFonts w:ascii="宋体" w:hAnsi="宋体"/>
              </w:rPr>
            </w:pPr>
            <w:r>
              <w:rPr>
                <w:rFonts w:hint="eastAsia" w:ascii="宋体" w:hAnsi="宋体" w:cs="宋体"/>
                <w:szCs w:val="21"/>
              </w:rPr>
              <w:t>11、包含解决现有平板探测器故障。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spacing w:after="78"/>
              <w:jc w:val="left"/>
              <w:rPr>
                <w:rFonts w:ascii="宋体" w:hAnsi="宋体"/>
              </w:rPr>
            </w:pPr>
            <w:r>
              <w:rPr>
                <w:rFonts w:hint="eastAsia" w:ascii="宋体" w:hAnsi="宋体"/>
              </w:rPr>
              <w:t>1、提供同设备类型的同类业绩</w:t>
            </w:r>
          </w:p>
          <w:p>
            <w:pPr>
              <w:snapToGrid w:val="0"/>
              <w:spacing w:after="78"/>
              <w:jc w:val="left"/>
              <w:rPr>
                <w:rFonts w:ascii="宋体" w:hAnsi="宋体"/>
              </w:rPr>
            </w:pPr>
            <w:r>
              <w:rPr>
                <w:rFonts w:hint="eastAsia" w:ascii="宋体" w:hAnsi="宋体"/>
              </w:rPr>
              <w:t>2、热线服务：全国范围内开通400/800免费热线电话，需将号码填入标书，并保障24小时 *365天有在线工程师接听报修，为用户快速诊断和提供技术支持服务。接到维修要求后，不超过24小时到达现场。</w:t>
            </w:r>
          </w:p>
          <w:p>
            <w:pPr>
              <w:snapToGrid w:val="0"/>
              <w:spacing w:after="78"/>
              <w:jc w:val="left"/>
              <w:rPr>
                <w:rFonts w:ascii="宋体" w:hAnsi="宋体"/>
              </w:rPr>
            </w:pPr>
            <w:r>
              <w:rPr>
                <w:rFonts w:hint="eastAsia" w:ascii="宋体" w:hAnsi="宋体"/>
              </w:rPr>
              <w:t>4、工时：包含在保修合同期内所需的人工费用，节假日加班免费。</w:t>
            </w:r>
          </w:p>
          <w:p>
            <w:pPr>
              <w:snapToGrid w:val="0"/>
              <w:spacing w:after="78"/>
              <w:jc w:val="left"/>
              <w:rPr>
                <w:rFonts w:hint="eastAsia" w:ascii="宋体" w:hAnsi="宋体"/>
              </w:rPr>
            </w:pPr>
            <w:r>
              <w:rPr>
                <w:rFonts w:hint="eastAsia" w:ascii="宋体" w:hAnsi="宋体"/>
              </w:rPr>
              <w:t>5、保修期间，设备进行维修，保养和更换配件，承担配件、劳务和差旅等费用，不再收取除合同款外的其他费用。</w:t>
            </w:r>
          </w:p>
          <w:p>
            <w:pPr>
              <w:pStyle w:val="24"/>
              <w:numPr>
                <w:numId w:val="0"/>
              </w:numPr>
              <w:rPr>
                <w:rFonts w:ascii="宋体" w:hAnsi="宋体" w:cs="宋体"/>
                <w:szCs w:val="21"/>
              </w:rPr>
            </w:pPr>
            <w:r>
              <w:rPr>
                <w:rFonts w:hint="eastAsia" w:ascii="宋体" w:hAnsi="宋体"/>
                <w:lang w:val="en-US" w:eastAsia="zh-CN"/>
              </w:rPr>
              <w:t>6、</w:t>
            </w:r>
            <w:r>
              <w:rPr>
                <w:rFonts w:hint="eastAsia" w:ascii="宋体" w:hAnsi="宋体" w:cs="宋体"/>
                <w:szCs w:val="21"/>
              </w:rPr>
              <w:t>合同期：1年。付款方式：两期付款。第一期付款时间：在本合同签订之日起6个月后，采购方对维保服务进行验收，验收合格后支付服务费的 50%。第二期付款时间:合同期满且采购方对合同期内维保服务验收合格后付清剩余服务费。</w:t>
            </w:r>
          </w:p>
          <w:p>
            <w:pPr>
              <w:snapToGrid w:val="0"/>
              <w:spacing w:after="78"/>
              <w:jc w:val="left"/>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rPr>
                <w:color w:val="000000"/>
                <w:sz w:val="22"/>
              </w:rPr>
            </w:pPr>
          </w:p>
          <w:p>
            <w:pPr>
              <w:numPr>
                <w:ilvl w:val="255"/>
                <w:numId w:val="0"/>
              </w:numPr>
              <w:spacing w:after="78"/>
              <w:rPr>
                <w:color w:val="000000"/>
                <w:sz w:val="22"/>
              </w:rPr>
            </w:pPr>
            <w:r>
              <w:rPr>
                <w:rFonts w:hint="eastAsia"/>
                <w:color w:val="000000"/>
                <w:sz w:val="22"/>
              </w:rPr>
              <w:t>设备注册证名称：口腔</w:t>
            </w:r>
            <w:r>
              <w:rPr>
                <w:rFonts w:hint="eastAsia" w:ascii="宋体" w:hAnsi="宋体"/>
                <w:color w:val="000000"/>
                <w:kern w:val="0"/>
                <w:sz w:val="22"/>
              </w:rPr>
              <w:t>X射线计算机体层摄影设备</w:t>
            </w:r>
          </w:p>
          <w:p>
            <w:pPr>
              <w:numPr>
                <w:ilvl w:val="255"/>
                <w:numId w:val="0"/>
              </w:numPr>
              <w:spacing w:after="78"/>
              <w:rPr>
                <w:color w:val="000000"/>
                <w:sz w:val="22"/>
              </w:rPr>
            </w:pPr>
            <w:r>
              <w:rPr>
                <w:rFonts w:hint="eastAsia"/>
                <w:color w:val="000000"/>
                <w:sz w:val="22"/>
              </w:rPr>
              <w:t xml:space="preserve">品牌：  NEW TOM  </w:t>
            </w:r>
          </w:p>
          <w:p>
            <w:pPr>
              <w:numPr>
                <w:ilvl w:val="255"/>
                <w:numId w:val="0"/>
              </w:numPr>
              <w:spacing w:after="78"/>
              <w:rPr>
                <w:color w:val="000000"/>
                <w:sz w:val="22"/>
              </w:rPr>
            </w:pPr>
            <w:r>
              <w:rPr>
                <w:rFonts w:hint="eastAsia"/>
                <w:color w:val="000000"/>
                <w:sz w:val="22"/>
              </w:rPr>
              <w:t>规格型号： NEW TOM VG</w:t>
            </w:r>
          </w:p>
          <w:p>
            <w:pPr>
              <w:numPr>
                <w:ilvl w:val="255"/>
                <w:numId w:val="0"/>
              </w:numPr>
              <w:spacing w:after="78"/>
              <w:rPr>
                <w:color w:val="000000"/>
                <w:sz w:val="22"/>
              </w:rPr>
            </w:pPr>
            <w:r>
              <w:rPr>
                <w:rFonts w:hint="eastAsia"/>
                <w:color w:val="000000"/>
                <w:sz w:val="22"/>
              </w:rPr>
              <w:t>配件型号： Paxscan 2520D (平板探测器)</w:t>
            </w:r>
          </w:p>
          <w:p>
            <w:pPr>
              <w:tabs>
                <w:tab w:val="left" w:pos="-720"/>
              </w:tabs>
              <w:suppressAutoHyphens/>
              <w:spacing w:after="78"/>
              <w:rPr>
                <w:rFonts w:hint="eastAsia"/>
                <w:color w:val="000000"/>
                <w:sz w:val="22"/>
              </w:rPr>
            </w:pPr>
            <w:r>
              <w:rPr>
                <w:rFonts w:hint="eastAsia"/>
                <w:color w:val="000000"/>
                <w:sz w:val="22"/>
              </w:rPr>
              <w:t>保修时间：1年</w:t>
            </w:r>
          </w:p>
          <w:p>
            <w:pPr>
              <w:tabs>
                <w:tab w:val="left" w:pos="-720"/>
              </w:tabs>
              <w:suppressAutoHyphens/>
              <w:spacing w:after="78"/>
              <w:rPr>
                <w:rFonts w:hint="eastAsia"/>
                <w:color w:val="000000"/>
                <w:sz w:val="22"/>
              </w:rPr>
            </w:pP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A3AA7"/>
    <w:multiLevelType w:val="multilevel"/>
    <w:tmpl w:val="058A3AA7"/>
    <w:lvl w:ilvl="0" w:tentative="0">
      <w:start w:val="1"/>
      <w:numFmt w:val="decimal"/>
      <w:lvlText w:val="%1."/>
      <w:lvlJc w:val="left"/>
      <w:pPr>
        <w:ind w:left="840" w:hanging="360"/>
      </w:pPr>
      <w:rPr>
        <w:rFonts w:hint="default"/>
        <w:u w:val="none"/>
      </w:rPr>
    </w:lvl>
    <w:lvl w:ilvl="1" w:tentative="0">
      <w:start w:val="1"/>
      <w:numFmt w:val="upperLetter"/>
      <w:lvlText w:val="%2、"/>
      <w:lvlJc w:val="left"/>
      <w:pPr>
        <w:ind w:left="1620" w:hanging="720"/>
      </w:pPr>
      <w:rPr>
        <w:rFonts w:hint="default"/>
        <w:u w:val="none"/>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2024-01-25T03:17:49Z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A521FBDC2A7E4899A522CA9E47EF1BA4_12</vt:lpwstr>
  </property>
</Properties>
</file>