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jc w:val="left"/>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835"/>
        <w:gridCol w:w="1065"/>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rPr>
            </w:pPr>
            <w:r>
              <w:rPr>
                <w:rFonts w:hint="eastAsia" w:ascii="宋体" w:hAnsi="宋体"/>
                <w:b/>
              </w:rPr>
              <w:t>序号</w:t>
            </w:r>
          </w:p>
        </w:tc>
        <w:tc>
          <w:tcPr>
            <w:tcW w:w="3989" w:type="dxa"/>
            <w:gridSpan w:val="3"/>
            <w:shd w:val="clear" w:color="auto" w:fill="DBE5F1"/>
            <w:vAlign w:val="center"/>
          </w:tcPr>
          <w:p>
            <w:pPr>
              <w:spacing w:line="276" w:lineRule="auto"/>
              <w:jc w:val="center"/>
              <w:rPr>
                <w:rFonts w:ascii="宋体" w:hAnsi="宋体"/>
                <w:b/>
              </w:rPr>
            </w:pPr>
            <w:r>
              <w:rPr>
                <w:rFonts w:ascii="宋体" w:hAnsi="宋体"/>
                <w:b/>
              </w:rPr>
              <w:t>评分项</w:t>
            </w:r>
          </w:p>
        </w:tc>
        <w:tc>
          <w:tcPr>
            <w:tcW w:w="4197" w:type="dxa"/>
            <w:gridSpan w:val="2"/>
            <w:shd w:val="clear" w:color="auto" w:fill="DBE5F1"/>
            <w:vAlign w:val="center"/>
          </w:tcPr>
          <w:p>
            <w:pPr>
              <w:spacing w:line="276" w:lineRule="auto"/>
              <w:jc w:val="center"/>
              <w:rPr>
                <w:rFonts w:ascii="宋体" w:hAnsi="宋体"/>
                <w:b/>
              </w:rPr>
            </w:pPr>
            <w:r>
              <w:rPr>
                <w:rFonts w:ascii="宋体" w:hAnsi="宋体"/>
                <w:b/>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rPr>
            </w:pPr>
            <w:r>
              <w:rPr>
                <w:rFonts w:hint="eastAsia" w:ascii="宋体" w:hAnsi="宋体"/>
              </w:rPr>
              <w:t>1</w:t>
            </w:r>
          </w:p>
        </w:tc>
        <w:tc>
          <w:tcPr>
            <w:tcW w:w="3989" w:type="dxa"/>
            <w:gridSpan w:val="3"/>
            <w:vAlign w:val="center"/>
          </w:tcPr>
          <w:p>
            <w:pPr>
              <w:spacing w:line="276" w:lineRule="auto"/>
              <w:jc w:val="center"/>
              <w:rPr>
                <w:rFonts w:ascii="宋体" w:hAnsi="宋体"/>
              </w:rPr>
            </w:pPr>
            <w:r>
              <w:rPr>
                <w:rFonts w:ascii="宋体" w:hAnsi="宋体"/>
                <w:b/>
                <w:w w:val="99"/>
              </w:rPr>
              <w:t>价格</w:t>
            </w:r>
            <w:r>
              <w:rPr>
                <w:rFonts w:hint="eastAsia" w:ascii="宋体" w:hAnsi="宋体"/>
                <w:b/>
                <w:w w:val="99"/>
              </w:rPr>
              <w:t>部分</w:t>
            </w:r>
          </w:p>
        </w:tc>
        <w:tc>
          <w:tcPr>
            <w:tcW w:w="4197" w:type="dxa"/>
            <w:gridSpan w:val="2"/>
            <w:vAlign w:val="center"/>
          </w:tcPr>
          <w:p>
            <w:pPr>
              <w:spacing w:line="276" w:lineRule="auto"/>
              <w:jc w:val="center"/>
              <w:rPr>
                <w:rFonts w:ascii="宋体" w:hAnsi="宋体"/>
              </w:rPr>
            </w:pPr>
            <w:r>
              <w:rPr>
                <w:rFonts w:hint="eastAsia"/>
                <w: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rPr>
            </w:pPr>
            <w:r>
              <w:rPr>
                <w:rFonts w:hint="eastAsia" w:ascii="宋体" w:hAnsi="宋体"/>
              </w:rPr>
              <w:t>2</w:t>
            </w:r>
          </w:p>
        </w:tc>
        <w:tc>
          <w:tcPr>
            <w:tcW w:w="3989" w:type="dxa"/>
            <w:gridSpan w:val="3"/>
            <w:vAlign w:val="center"/>
          </w:tcPr>
          <w:p>
            <w:pPr>
              <w:spacing w:line="276" w:lineRule="auto"/>
              <w:jc w:val="center"/>
              <w:rPr>
                <w:rFonts w:ascii="宋体" w:hAnsi="宋体"/>
              </w:rPr>
            </w:pPr>
            <w:r>
              <w:rPr>
                <w:rFonts w:ascii="宋体" w:hAnsi="宋体"/>
                <w:b/>
                <w:w w:val="99"/>
              </w:rPr>
              <w:t>技术部分</w:t>
            </w:r>
          </w:p>
        </w:tc>
        <w:tc>
          <w:tcPr>
            <w:tcW w:w="4197" w:type="dxa"/>
            <w:gridSpan w:val="2"/>
            <w:vAlign w:val="center"/>
          </w:tcPr>
          <w:p>
            <w:pPr>
              <w:spacing w:line="276" w:lineRule="auto"/>
              <w:jc w:val="center"/>
              <w:rPr>
                <w:rFonts w:ascii="宋体" w:hAnsi="宋体"/>
              </w:rPr>
            </w:pPr>
            <w:r>
              <w:rPr>
                <w:rFonts w:hint="eastAsia"/>
                <w:b/>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rPr>
            </w:pPr>
          </w:p>
        </w:tc>
        <w:tc>
          <w:tcPr>
            <w:tcW w:w="701" w:type="dxa"/>
            <w:shd w:val="clear" w:color="auto" w:fill="DBE5F1"/>
            <w:vAlign w:val="center"/>
          </w:tcPr>
          <w:p>
            <w:pPr>
              <w:spacing w:line="276" w:lineRule="auto"/>
              <w:jc w:val="center"/>
              <w:rPr>
                <w:rFonts w:ascii="宋体" w:hAnsi="宋体"/>
              </w:rPr>
            </w:pPr>
            <w:r>
              <w:rPr>
                <w:rFonts w:hint="eastAsia" w:ascii="宋体" w:hAnsi="宋体"/>
              </w:rPr>
              <w:t>序号</w:t>
            </w:r>
          </w:p>
        </w:tc>
        <w:tc>
          <w:tcPr>
            <w:tcW w:w="2453" w:type="dxa"/>
            <w:shd w:val="clear" w:color="auto" w:fill="DBE5F1"/>
            <w:vAlign w:val="center"/>
          </w:tcPr>
          <w:p>
            <w:pPr>
              <w:spacing w:line="276" w:lineRule="auto"/>
              <w:jc w:val="center"/>
              <w:rPr>
                <w:rFonts w:ascii="宋体" w:hAnsi="宋体"/>
              </w:rPr>
            </w:pPr>
            <w:r>
              <w:rPr>
                <w:rFonts w:hint="eastAsia" w:ascii="宋体" w:hAnsi="宋体"/>
              </w:rPr>
              <w:t>评分因素</w:t>
            </w:r>
          </w:p>
        </w:tc>
        <w:tc>
          <w:tcPr>
            <w:tcW w:w="835" w:type="dxa"/>
            <w:shd w:val="clear" w:color="auto" w:fill="DBE5F1"/>
            <w:vAlign w:val="center"/>
          </w:tcPr>
          <w:p>
            <w:pPr>
              <w:spacing w:line="276" w:lineRule="auto"/>
              <w:jc w:val="center"/>
              <w:rPr>
                <w:rFonts w:ascii="宋体" w:hAnsi="宋体"/>
              </w:rPr>
            </w:pPr>
            <w:r>
              <w:rPr>
                <w:rFonts w:hint="eastAsia" w:ascii="宋体" w:hAnsi="宋体"/>
              </w:rPr>
              <w:t>权重</w:t>
            </w:r>
          </w:p>
        </w:tc>
        <w:tc>
          <w:tcPr>
            <w:tcW w:w="1065" w:type="dxa"/>
            <w:shd w:val="clear" w:color="auto" w:fill="DBE5F1"/>
            <w:vAlign w:val="center"/>
          </w:tcPr>
          <w:p>
            <w:pPr>
              <w:spacing w:line="276" w:lineRule="auto"/>
              <w:jc w:val="center"/>
              <w:rPr>
                <w:rFonts w:ascii="宋体" w:hAnsi="宋体"/>
              </w:rPr>
            </w:pPr>
            <w:r>
              <w:rPr>
                <w:rFonts w:hint="eastAsia" w:ascii="宋体" w:hAnsi="宋体"/>
              </w:rPr>
              <w:t>评分方式</w:t>
            </w:r>
          </w:p>
        </w:tc>
        <w:tc>
          <w:tcPr>
            <w:tcW w:w="3132" w:type="dxa"/>
            <w:shd w:val="clear" w:color="auto" w:fill="DBE5F1"/>
            <w:vAlign w:val="center"/>
          </w:tcPr>
          <w:p>
            <w:pPr>
              <w:spacing w:line="276" w:lineRule="auto"/>
              <w:jc w:val="center"/>
              <w:rPr>
                <w:rFonts w:ascii="宋体" w:hAnsi="宋体"/>
              </w:rPr>
            </w:pPr>
            <w:r>
              <w:rPr>
                <w:rFonts w:hint="eastAsia" w:ascii="宋体" w:hAnsi="宋体"/>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Cs w:val="21"/>
              </w:rPr>
            </w:pPr>
          </w:p>
        </w:tc>
        <w:tc>
          <w:tcPr>
            <w:tcW w:w="701" w:type="dxa"/>
            <w:vAlign w:val="center"/>
          </w:tcPr>
          <w:p>
            <w:pPr>
              <w:jc w:val="center"/>
              <w:rPr>
                <w:rFonts w:ascii="宋体" w:hAnsi="宋体" w:cs="仿宋"/>
                <w:szCs w:val="21"/>
              </w:rPr>
            </w:pPr>
            <w:r>
              <w:rPr>
                <w:rFonts w:hint="eastAsia" w:ascii="宋体" w:hAnsi="宋体" w:cs="仿宋"/>
                <w:szCs w:val="21"/>
              </w:rPr>
              <w:t>1</w:t>
            </w:r>
          </w:p>
        </w:tc>
        <w:tc>
          <w:tcPr>
            <w:tcW w:w="2453" w:type="dxa"/>
            <w:vAlign w:val="center"/>
          </w:tcPr>
          <w:p>
            <w:pPr>
              <w:widowControl/>
              <w:jc w:val="center"/>
              <w:rPr>
                <w:rFonts w:ascii="宋体" w:hAnsi="宋体" w:cs="仿宋"/>
                <w:szCs w:val="21"/>
              </w:rPr>
            </w:pPr>
            <w:r>
              <w:rPr>
                <w:rFonts w:hint="eastAsia" w:ascii="宋体" w:hAnsi="宋体" w:cs="仿宋"/>
                <w:szCs w:val="21"/>
              </w:rPr>
              <w:t>整体实施方案评价</w:t>
            </w:r>
          </w:p>
        </w:tc>
        <w:tc>
          <w:tcPr>
            <w:tcW w:w="835" w:type="dxa"/>
            <w:vAlign w:val="center"/>
          </w:tcPr>
          <w:p>
            <w:pPr>
              <w:widowControl/>
              <w:jc w:val="center"/>
              <w:rPr>
                <w:rFonts w:ascii="宋体" w:hAnsi="宋体" w:cs="仿宋"/>
                <w:szCs w:val="21"/>
              </w:rPr>
            </w:pPr>
            <w:r>
              <w:rPr>
                <w:rFonts w:hint="eastAsia" w:ascii="宋体" w:hAnsi="宋体" w:cs="仿宋"/>
                <w:szCs w:val="21"/>
              </w:rPr>
              <w:t>25</w:t>
            </w:r>
          </w:p>
        </w:tc>
        <w:tc>
          <w:tcPr>
            <w:tcW w:w="1065" w:type="dxa"/>
            <w:vAlign w:val="center"/>
          </w:tcPr>
          <w:p>
            <w:pPr>
              <w:jc w:val="center"/>
              <w:rPr>
                <w:rFonts w:ascii="宋体" w:hAnsi="宋体" w:cs="仿宋"/>
                <w:szCs w:val="21"/>
              </w:rPr>
            </w:pPr>
            <w:r>
              <w:rPr>
                <w:rFonts w:hint="eastAsia" w:cs="仿宋" w:asciiTheme="minorEastAsia" w:hAnsiTheme="minorEastAsia" w:eastAsiaTheme="minorEastAsia"/>
                <w:szCs w:val="21"/>
              </w:rPr>
              <w:t>专家打分</w:t>
            </w:r>
          </w:p>
        </w:tc>
        <w:tc>
          <w:tcPr>
            <w:tcW w:w="3132" w:type="dxa"/>
            <w:vAlign w:val="center"/>
          </w:tcPr>
          <w:p>
            <w:pPr>
              <w:widowControl/>
              <w:jc w:val="left"/>
              <w:rPr>
                <w:rFonts w:ascii="宋体" w:hAnsi="宋体" w:cs="仿宋"/>
                <w:szCs w:val="21"/>
              </w:rPr>
            </w:pPr>
            <w:r>
              <w:rPr>
                <w:rFonts w:hint="eastAsia" w:cs="宋体" w:asciiTheme="minorEastAsia" w:hAnsiTheme="minorEastAsia" w:eastAsiaTheme="minorEastAsia"/>
                <w:szCs w:val="21"/>
              </w:rPr>
              <w:t>实施方案合理完善且标书详细正规。</w:t>
            </w:r>
            <w:r>
              <w:rPr>
                <w:rFonts w:cs="仿宋" w:asciiTheme="minorEastAsia" w:hAnsiTheme="minorEastAsia" w:eastAsiaTheme="minorEastAsia"/>
                <w:szCs w:val="21"/>
              </w:rPr>
              <w:t>横向比较，分档评分：评价为优得</w:t>
            </w:r>
            <w:r>
              <w:rPr>
                <w:rFonts w:hint="eastAsia" w:cs="仿宋" w:asciiTheme="minorEastAsia" w:hAnsiTheme="minorEastAsia" w:eastAsiaTheme="minorEastAsia"/>
                <w:szCs w:val="21"/>
              </w:rPr>
              <w:t>25-20</w:t>
            </w:r>
            <w:r>
              <w:rPr>
                <w:rFonts w:cs="仿宋" w:asciiTheme="minorEastAsia" w:hAnsiTheme="minorEastAsia" w:eastAsiaTheme="minorEastAsia"/>
                <w:szCs w:val="21"/>
              </w:rPr>
              <w:t>分；评价为良得</w:t>
            </w:r>
            <w:r>
              <w:rPr>
                <w:rFonts w:hint="eastAsia" w:cs="仿宋" w:asciiTheme="minorEastAsia" w:hAnsiTheme="minorEastAsia" w:eastAsiaTheme="minorEastAsia"/>
                <w:szCs w:val="21"/>
              </w:rPr>
              <w:t>20-15</w:t>
            </w:r>
            <w:r>
              <w:rPr>
                <w:rFonts w:cs="仿宋" w:asciiTheme="minorEastAsia" w:hAnsiTheme="minorEastAsia" w:eastAsiaTheme="minorEastAsia"/>
                <w:szCs w:val="21"/>
              </w:rPr>
              <w:t>分；评价为中得</w:t>
            </w:r>
            <w:r>
              <w:rPr>
                <w:rFonts w:hint="eastAsia" w:cs="仿宋" w:asciiTheme="minorEastAsia" w:hAnsiTheme="minorEastAsia" w:eastAsiaTheme="minorEastAsia"/>
                <w:szCs w:val="21"/>
              </w:rPr>
              <w:t>15-5</w:t>
            </w:r>
            <w:r>
              <w:rPr>
                <w:rFonts w:cs="仿宋" w:asciiTheme="minorEastAsia" w:hAnsiTheme="minorEastAsia" w:eastAsiaTheme="minorEastAsia"/>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Cs w:val="21"/>
              </w:rPr>
            </w:pPr>
          </w:p>
        </w:tc>
        <w:tc>
          <w:tcPr>
            <w:tcW w:w="701" w:type="dxa"/>
            <w:vAlign w:val="center"/>
          </w:tcPr>
          <w:p>
            <w:pPr>
              <w:jc w:val="center"/>
              <w:rPr>
                <w:rFonts w:ascii="宋体" w:hAnsi="宋体" w:cs="仿宋"/>
                <w:szCs w:val="21"/>
              </w:rPr>
            </w:pPr>
            <w:r>
              <w:rPr>
                <w:rFonts w:hint="eastAsia" w:ascii="宋体" w:hAnsi="宋体" w:cs="仿宋"/>
                <w:szCs w:val="21"/>
              </w:rPr>
              <w:t>4</w:t>
            </w:r>
          </w:p>
        </w:tc>
        <w:tc>
          <w:tcPr>
            <w:tcW w:w="2453" w:type="dxa"/>
            <w:vAlign w:val="center"/>
          </w:tcPr>
          <w:p>
            <w:pPr>
              <w:widowControl/>
              <w:spacing w:line="300" w:lineRule="atLeast"/>
              <w:jc w:val="center"/>
              <w:rPr>
                <w:rFonts w:ascii="宋体" w:hAnsi="宋体" w:cs="仿宋"/>
                <w:szCs w:val="21"/>
              </w:rPr>
            </w:pPr>
            <w:r>
              <w:rPr>
                <w:rFonts w:ascii="宋体" w:hAnsi="宋体" w:cs="仿宋"/>
                <w:szCs w:val="21"/>
              </w:rPr>
              <w:t>违约承诺</w:t>
            </w:r>
          </w:p>
        </w:tc>
        <w:tc>
          <w:tcPr>
            <w:tcW w:w="835" w:type="dxa"/>
            <w:vAlign w:val="center"/>
          </w:tcPr>
          <w:p>
            <w:pPr>
              <w:widowControl/>
              <w:spacing w:line="300" w:lineRule="atLeast"/>
              <w:jc w:val="center"/>
              <w:rPr>
                <w:rFonts w:ascii="宋体" w:hAnsi="宋体" w:cs="仿宋"/>
                <w:szCs w:val="21"/>
              </w:rPr>
            </w:pPr>
            <w:r>
              <w:rPr>
                <w:rFonts w:ascii="宋体" w:hAnsi="宋体" w:cs="仿宋"/>
                <w:szCs w:val="21"/>
              </w:rPr>
              <w:t>5</w:t>
            </w:r>
          </w:p>
        </w:tc>
        <w:tc>
          <w:tcPr>
            <w:tcW w:w="1065" w:type="dxa"/>
            <w:vAlign w:val="center"/>
          </w:tcPr>
          <w:p>
            <w:pPr>
              <w:jc w:val="center"/>
              <w:rPr>
                <w:rFonts w:ascii="宋体" w:hAnsi="宋体" w:cs="仿宋"/>
                <w:szCs w:val="21"/>
              </w:rPr>
            </w:pPr>
            <w:r>
              <w:rPr>
                <w:rFonts w:hint="eastAsia" w:ascii="宋体" w:hAnsi="宋体" w:cs="仿宋"/>
                <w:szCs w:val="21"/>
              </w:rPr>
              <w:t>专家打分</w:t>
            </w:r>
          </w:p>
        </w:tc>
        <w:tc>
          <w:tcPr>
            <w:tcW w:w="3132" w:type="dxa"/>
            <w:vAlign w:val="center"/>
          </w:tcPr>
          <w:p>
            <w:pPr>
              <w:widowControl/>
              <w:jc w:val="left"/>
              <w:rPr>
                <w:rFonts w:ascii="宋体" w:hAnsi="宋体" w:cs="仿宋"/>
                <w:szCs w:val="21"/>
                <w:lang w:val="zh-CN"/>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rPr>
            </w:pPr>
          </w:p>
        </w:tc>
        <w:tc>
          <w:tcPr>
            <w:tcW w:w="701" w:type="dxa"/>
            <w:vAlign w:val="center"/>
          </w:tcPr>
          <w:p>
            <w:pPr>
              <w:jc w:val="center"/>
              <w:rPr>
                <w:rFonts w:ascii="宋体" w:hAnsi="宋体"/>
              </w:rPr>
            </w:pPr>
            <w:r>
              <w:rPr>
                <w:rFonts w:hint="eastAsia" w:ascii="宋体" w:hAnsi="宋体" w:cs="仿宋"/>
                <w:szCs w:val="21"/>
              </w:rPr>
              <w:t>5</w:t>
            </w:r>
          </w:p>
        </w:tc>
        <w:tc>
          <w:tcPr>
            <w:tcW w:w="2453" w:type="dxa"/>
            <w:vAlign w:val="center"/>
          </w:tcPr>
          <w:p>
            <w:pPr>
              <w:widowControl/>
              <w:spacing w:line="300" w:lineRule="atLeast"/>
              <w:jc w:val="center"/>
              <w:rPr>
                <w:rFonts w:ascii="宋体" w:hAnsi="宋体"/>
              </w:rPr>
            </w:pPr>
            <w:r>
              <w:rPr>
                <w:rFonts w:ascii="宋体" w:hAnsi="宋体" w:cs="仿宋"/>
                <w:szCs w:val="21"/>
              </w:rPr>
              <w:t>拟安排的项目负责人情况</w:t>
            </w:r>
          </w:p>
        </w:tc>
        <w:tc>
          <w:tcPr>
            <w:tcW w:w="835" w:type="dxa"/>
            <w:vAlign w:val="center"/>
          </w:tcPr>
          <w:p>
            <w:pPr>
              <w:widowControl/>
              <w:spacing w:line="300" w:lineRule="atLeast"/>
              <w:jc w:val="center"/>
              <w:rPr>
                <w:rFonts w:ascii="宋体" w:hAnsi="宋体"/>
              </w:rPr>
            </w:pPr>
            <w:r>
              <w:rPr>
                <w:rFonts w:ascii="宋体" w:hAnsi="宋体" w:cs="仿宋"/>
                <w:szCs w:val="21"/>
              </w:rPr>
              <w:t>5</w:t>
            </w:r>
          </w:p>
        </w:tc>
        <w:tc>
          <w:tcPr>
            <w:tcW w:w="1065" w:type="dxa"/>
            <w:vAlign w:val="center"/>
          </w:tcPr>
          <w:p>
            <w:pPr>
              <w:jc w:val="center"/>
            </w:pPr>
            <w:r>
              <w:rPr>
                <w:rFonts w:hint="eastAsia" w:ascii="宋体" w:hAnsi="宋体" w:cs="仿宋"/>
                <w:szCs w:val="21"/>
              </w:rPr>
              <w:t>专家打分</w:t>
            </w:r>
          </w:p>
        </w:tc>
        <w:tc>
          <w:tcPr>
            <w:tcW w:w="3132" w:type="dxa"/>
            <w:vAlign w:val="center"/>
          </w:tcPr>
          <w:p>
            <w:pPr>
              <w:widowControl/>
              <w:jc w:val="left"/>
              <w:rPr>
                <w:rFonts w:ascii="宋体" w:hAnsi="宋体" w:cs="宋体"/>
                <w:szCs w:val="21"/>
                <w:lang w:val="zh-CN"/>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rPr>
            </w:pPr>
          </w:p>
        </w:tc>
        <w:tc>
          <w:tcPr>
            <w:tcW w:w="701" w:type="dxa"/>
            <w:vAlign w:val="center"/>
          </w:tcPr>
          <w:p>
            <w:pPr>
              <w:jc w:val="center"/>
              <w:rPr>
                <w:rFonts w:ascii="宋体" w:hAnsi="宋体" w:cs="仿宋"/>
                <w:szCs w:val="21"/>
              </w:rPr>
            </w:pPr>
            <w:r>
              <w:rPr>
                <w:rFonts w:hint="eastAsia" w:ascii="宋体" w:hAnsi="宋体" w:cs="仿宋"/>
                <w:szCs w:val="21"/>
              </w:rPr>
              <w:t>6</w:t>
            </w:r>
          </w:p>
        </w:tc>
        <w:tc>
          <w:tcPr>
            <w:tcW w:w="2453" w:type="dxa"/>
            <w:vAlign w:val="center"/>
          </w:tcPr>
          <w:p>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835" w:type="dxa"/>
            <w:vAlign w:val="center"/>
          </w:tcPr>
          <w:p>
            <w:pPr>
              <w:widowControl/>
              <w:spacing w:line="300" w:lineRule="atLeast"/>
              <w:jc w:val="center"/>
              <w:rPr>
                <w:rFonts w:ascii="宋体" w:hAnsi="宋体" w:cs="仿宋"/>
                <w:szCs w:val="21"/>
              </w:rPr>
            </w:pPr>
            <w:r>
              <w:rPr>
                <w:rFonts w:ascii="宋体" w:hAnsi="宋体" w:cs="仿宋"/>
                <w:szCs w:val="21"/>
              </w:rPr>
              <w:t>10</w:t>
            </w:r>
          </w:p>
        </w:tc>
        <w:tc>
          <w:tcPr>
            <w:tcW w:w="1065" w:type="dxa"/>
            <w:vAlign w:val="center"/>
          </w:tcPr>
          <w:p>
            <w:pPr>
              <w:jc w:val="center"/>
              <w:rPr>
                <w:rFonts w:ascii="宋体" w:hAnsi="宋体" w:cs="仿宋"/>
                <w:szCs w:val="21"/>
              </w:rPr>
            </w:pPr>
            <w:r>
              <w:rPr>
                <w:rFonts w:hint="eastAsia" w:ascii="宋体" w:hAnsi="宋体" w:cs="仿宋"/>
                <w:szCs w:val="21"/>
              </w:rPr>
              <w:t>专家打分</w:t>
            </w:r>
          </w:p>
        </w:tc>
        <w:tc>
          <w:tcPr>
            <w:tcW w:w="3132" w:type="dxa"/>
            <w:vAlign w:val="center"/>
          </w:tcPr>
          <w:p>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rPr>
            </w:pPr>
          </w:p>
        </w:tc>
        <w:tc>
          <w:tcPr>
            <w:tcW w:w="701" w:type="dxa"/>
            <w:vAlign w:val="center"/>
          </w:tcPr>
          <w:p>
            <w:pPr>
              <w:jc w:val="center"/>
              <w:rPr>
                <w:rFonts w:ascii="宋体" w:hAnsi="宋体" w:cs="仿宋"/>
                <w:szCs w:val="21"/>
              </w:rPr>
            </w:pPr>
            <w:r>
              <w:rPr>
                <w:rFonts w:hint="eastAsia" w:ascii="宋体" w:hAnsi="宋体" w:cs="仿宋"/>
                <w:szCs w:val="21"/>
              </w:rPr>
              <w:t>7</w:t>
            </w:r>
          </w:p>
        </w:tc>
        <w:tc>
          <w:tcPr>
            <w:tcW w:w="2453" w:type="dxa"/>
            <w:vAlign w:val="center"/>
          </w:tcPr>
          <w:p>
            <w:pPr>
              <w:widowControl/>
              <w:spacing w:line="300" w:lineRule="atLeast"/>
              <w:jc w:val="center"/>
              <w:rPr>
                <w:rFonts w:ascii="宋体" w:hAnsi="宋体" w:cs="仿宋"/>
                <w:szCs w:val="21"/>
              </w:rPr>
            </w:pPr>
            <w:r>
              <w:rPr>
                <w:rFonts w:ascii="宋体" w:hAnsi="宋体" w:cs="仿宋"/>
                <w:szCs w:val="21"/>
              </w:rPr>
              <w:t>技术参数要求符合度</w:t>
            </w:r>
          </w:p>
        </w:tc>
        <w:tc>
          <w:tcPr>
            <w:tcW w:w="835" w:type="dxa"/>
            <w:vAlign w:val="center"/>
          </w:tcPr>
          <w:p>
            <w:pPr>
              <w:widowControl/>
              <w:spacing w:line="300" w:lineRule="atLeast"/>
              <w:jc w:val="center"/>
              <w:rPr>
                <w:rFonts w:ascii="宋体" w:hAnsi="宋体" w:cs="仿宋"/>
                <w:szCs w:val="21"/>
              </w:rPr>
            </w:pPr>
            <w:r>
              <w:rPr>
                <w:rFonts w:ascii="宋体" w:hAnsi="宋体" w:cs="仿宋"/>
                <w:szCs w:val="21"/>
              </w:rPr>
              <w:t>10</w:t>
            </w:r>
          </w:p>
        </w:tc>
        <w:tc>
          <w:tcPr>
            <w:tcW w:w="1065" w:type="dxa"/>
            <w:vAlign w:val="center"/>
          </w:tcPr>
          <w:p>
            <w:pPr>
              <w:jc w:val="center"/>
              <w:rPr>
                <w:rFonts w:ascii="宋体" w:hAnsi="宋体" w:cs="宋体"/>
                <w:szCs w:val="21"/>
              </w:rPr>
            </w:pPr>
            <w:r>
              <w:rPr>
                <w:rFonts w:hint="eastAsia" w:ascii="宋体" w:hAnsi="宋体" w:cs="仿宋"/>
                <w:szCs w:val="21"/>
              </w:rPr>
              <w:t>专家打分</w:t>
            </w:r>
          </w:p>
        </w:tc>
        <w:tc>
          <w:tcPr>
            <w:tcW w:w="3132" w:type="dxa"/>
            <w:vAlign w:val="center"/>
          </w:tcPr>
          <w:p>
            <w:pPr>
              <w:widowControl/>
              <w:jc w:val="left"/>
              <w:rPr>
                <w:rFonts w:ascii="宋体" w:hAnsi="宋体" w:cs="宋体"/>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rPr>
            </w:pPr>
            <w:r>
              <w:rPr>
                <w:rFonts w:hint="eastAsia" w:ascii="宋体" w:hAnsi="宋体"/>
              </w:rPr>
              <w:t>3</w:t>
            </w:r>
          </w:p>
        </w:tc>
        <w:tc>
          <w:tcPr>
            <w:tcW w:w="3989" w:type="dxa"/>
            <w:gridSpan w:val="3"/>
          </w:tcPr>
          <w:p>
            <w:pPr>
              <w:jc w:val="center"/>
              <w:rPr>
                <w:rFonts w:ascii="宋体" w:hAnsi="宋体" w:cs="仿宋"/>
                <w:sz w:val="24"/>
                <w:szCs w:val="24"/>
              </w:rPr>
            </w:pPr>
            <w:r>
              <w:rPr>
                <w:rFonts w:hint="eastAsia" w:ascii="宋体" w:hAnsi="宋体"/>
                <w:b/>
                <w:szCs w:val="21"/>
              </w:rPr>
              <w:t>商务部分</w:t>
            </w:r>
          </w:p>
        </w:tc>
        <w:tc>
          <w:tcPr>
            <w:tcW w:w="4197" w:type="dxa"/>
            <w:gridSpan w:val="2"/>
          </w:tcPr>
          <w:p>
            <w:pPr>
              <w:jc w:val="center"/>
              <w:rPr>
                <w:bCs/>
                <w:sz w:val="24"/>
                <w:szCs w:val="24"/>
              </w:rPr>
            </w:pPr>
            <w:r>
              <w:rPr>
                <w:rFonts w:hint="eastAsia" w:ascii="宋体" w:hAnsi="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rPr>
            </w:pPr>
          </w:p>
        </w:tc>
        <w:tc>
          <w:tcPr>
            <w:tcW w:w="701" w:type="dxa"/>
          </w:tcPr>
          <w:p>
            <w:pPr>
              <w:jc w:val="center"/>
              <w:rPr>
                <w:rFonts w:ascii="宋体" w:hAnsi="宋体" w:cs="仿宋"/>
                <w:szCs w:val="21"/>
              </w:rPr>
            </w:pPr>
            <w:r>
              <w:rPr>
                <w:rFonts w:hint="eastAsia" w:ascii="宋体" w:hAnsi="宋体"/>
                <w:szCs w:val="21"/>
              </w:rPr>
              <w:t>序号</w:t>
            </w:r>
          </w:p>
        </w:tc>
        <w:tc>
          <w:tcPr>
            <w:tcW w:w="2453" w:type="dxa"/>
          </w:tcPr>
          <w:p>
            <w:pPr>
              <w:jc w:val="center"/>
              <w:rPr>
                <w:bCs/>
                <w:sz w:val="24"/>
                <w:szCs w:val="24"/>
              </w:rPr>
            </w:pPr>
            <w:r>
              <w:rPr>
                <w:rFonts w:hint="eastAsia" w:ascii="宋体" w:hAnsi="宋体"/>
                <w:szCs w:val="21"/>
              </w:rPr>
              <w:t>评分因素</w:t>
            </w:r>
          </w:p>
        </w:tc>
        <w:tc>
          <w:tcPr>
            <w:tcW w:w="835" w:type="dxa"/>
          </w:tcPr>
          <w:p>
            <w:pPr>
              <w:jc w:val="center"/>
              <w:rPr>
                <w:rFonts w:ascii="宋体" w:hAnsi="宋体" w:cs="仿宋"/>
                <w:sz w:val="24"/>
                <w:szCs w:val="24"/>
              </w:rPr>
            </w:pPr>
            <w:r>
              <w:rPr>
                <w:rFonts w:hint="eastAsia" w:ascii="宋体" w:hAnsi="宋体"/>
                <w:szCs w:val="21"/>
              </w:rPr>
              <w:t>权重</w:t>
            </w:r>
          </w:p>
        </w:tc>
        <w:tc>
          <w:tcPr>
            <w:tcW w:w="1065" w:type="dxa"/>
          </w:tcPr>
          <w:p>
            <w:pPr>
              <w:jc w:val="center"/>
              <w:rPr>
                <w:rFonts w:ascii="宋体" w:hAnsi="宋体" w:cs="仿宋"/>
                <w:sz w:val="24"/>
                <w:szCs w:val="24"/>
              </w:rPr>
            </w:pPr>
            <w:r>
              <w:rPr>
                <w:rFonts w:hint="eastAsia" w:ascii="宋体" w:hAnsi="宋体"/>
                <w:szCs w:val="21"/>
              </w:rPr>
              <w:t>评分方式</w:t>
            </w:r>
          </w:p>
        </w:tc>
        <w:tc>
          <w:tcPr>
            <w:tcW w:w="3132" w:type="dxa"/>
          </w:tcPr>
          <w:p>
            <w:pPr>
              <w:jc w:val="center"/>
              <w:rPr>
                <w:bCs/>
                <w:sz w:val="24"/>
                <w:szCs w:val="24"/>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jc w:val="left"/>
              <w:rPr>
                <w:rFonts w:ascii="宋体" w:hAnsi="宋体" w:cs="仿宋"/>
                <w:szCs w:val="21"/>
              </w:rPr>
            </w:pPr>
          </w:p>
        </w:tc>
        <w:tc>
          <w:tcPr>
            <w:tcW w:w="701" w:type="dxa"/>
            <w:vAlign w:val="center"/>
          </w:tcPr>
          <w:p>
            <w:pPr>
              <w:widowControl/>
              <w:jc w:val="left"/>
              <w:rPr>
                <w:rFonts w:ascii="宋体" w:hAnsi="宋体" w:cs="仿宋"/>
                <w:szCs w:val="21"/>
              </w:rPr>
            </w:pPr>
            <w:r>
              <w:rPr>
                <w:rFonts w:hint="eastAsia" w:ascii="宋体" w:hAnsi="宋体" w:cs="仿宋"/>
                <w:szCs w:val="21"/>
              </w:rPr>
              <w:t>1</w:t>
            </w:r>
          </w:p>
        </w:tc>
        <w:tc>
          <w:tcPr>
            <w:tcW w:w="2453" w:type="dxa"/>
            <w:vAlign w:val="center"/>
          </w:tcPr>
          <w:p>
            <w:pPr>
              <w:widowControl/>
              <w:jc w:val="left"/>
              <w:rPr>
                <w:rFonts w:ascii="宋体" w:hAnsi="宋体" w:cs="仿宋"/>
                <w:szCs w:val="21"/>
              </w:rPr>
            </w:pPr>
            <w:r>
              <w:rPr>
                <w:rFonts w:ascii="宋体" w:hAnsi="宋体" w:cs="仿宋"/>
                <w:szCs w:val="21"/>
              </w:rPr>
              <w:t>投标人同类项目业绩情况</w:t>
            </w:r>
          </w:p>
        </w:tc>
        <w:tc>
          <w:tcPr>
            <w:tcW w:w="835" w:type="dxa"/>
            <w:vAlign w:val="center"/>
          </w:tcPr>
          <w:p>
            <w:pPr>
              <w:widowControl/>
              <w:jc w:val="left"/>
              <w:rPr>
                <w:rFonts w:ascii="宋体" w:hAnsi="宋体" w:cs="仿宋"/>
                <w:szCs w:val="21"/>
              </w:rPr>
            </w:pPr>
            <w:r>
              <w:rPr>
                <w:rFonts w:hint="eastAsia" w:ascii="宋体" w:hAnsi="宋体" w:cs="仿宋"/>
                <w:szCs w:val="21"/>
              </w:rPr>
              <w:t>10</w:t>
            </w:r>
          </w:p>
        </w:tc>
        <w:tc>
          <w:tcPr>
            <w:tcW w:w="1065" w:type="dxa"/>
            <w:vAlign w:val="center"/>
          </w:tcPr>
          <w:p>
            <w:pPr>
              <w:widowControl/>
              <w:jc w:val="left"/>
              <w:rPr>
                <w:rFonts w:ascii="宋体" w:hAnsi="宋体" w:cs="仿宋"/>
                <w:szCs w:val="21"/>
              </w:rPr>
            </w:pPr>
            <w:r>
              <w:rPr>
                <w:rFonts w:hint="eastAsia" w:ascii="宋体" w:hAnsi="宋体" w:cs="仿宋"/>
                <w:szCs w:val="21"/>
              </w:rPr>
              <w:t>专家打分</w:t>
            </w:r>
          </w:p>
        </w:tc>
        <w:tc>
          <w:tcPr>
            <w:tcW w:w="3132" w:type="dxa"/>
            <w:vAlign w:val="center"/>
          </w:tcPr>
          <w:p>
            <w:pPr>
              <w:widowControl/>
              <w:jc w:val="left"/>
              <w:rPr>
                <w:rFonts w:ascii="宋体" w:hAnsi="宋体" w:cs="仿宋"/>
                <w:szCs w:val="21"/>
              </w:rPr>
            </w:pPr>
            <w:r>
              <w:rPr>
                <w:rFonts w:hint="eastAsia" w:ascii="宋体" w:hAnsi="宋体" w:cs="仿宋"/>
                <w:szCs w:val="21"/>
              </w:rPr>
              <w:t>一</w:t>
            </w:r>
            <w:r>
              <w:rPr>
                <w:rFonts w:ascii="宋体" w:hAnsi="宋体" w:cs="仿宋"/>
                <w:szCs w:val="21"/>
              </w:rPr>
              <w:t>、</w:t>
            </w:r>
            <w:r>
              <w:rPr>
                <w:rFonts w:hint="eastAsia" w:ascii="宋体" w:hAnsi="宋体" w:cs="仿宋"/>
                <w:szCs w:val="21"/>
              </w:rPr>
              <w:t>评审标准：投标人近五年（2016年5月1日至本项目招标公告发布之日，以合同签订日期为准）每提供一项三甲医院同类项目业绩（医疗设备项目建议书、概算、资金申请报告）的得2分，每提供一项三甲以下医院同类项目业绩（医疗设备项目建议书、概算、资金申请报告）的得1分，累计最高得10分。</w:t>
            </w:r>
          </w:p>
          <w:p>
            <w:pPr>
              <w:widowControl/>
              <w:jc w:val="left"/>
              <w:rPr>
                <w:rFonts w:ascii="宋体" w:hAnsi="宋体" w:cs="仿宋"/>
                <w:szCs w:val="21"/>
              </w:rPr>
            </w:pPr>
            <w:r>
              <w:rPr>
                <w:rFonts w:ascii="宋体" w:hAnsi="宋体" w:cs="仿宋"/>
                <w:szCs w:val="21"/>
              </w:rPr>
              <w:t>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jc w:val="left"/>
              <w:rPr>
                <w:rFonts w:ascii="宋体" w:hAnsi="宋体" w:cs="仿宋"/>
                <w:szCs w:val="21"/>
              </w:rPr>
            </w:pPr>
          </w:p>
        </w:tc>
        <w:tc>
          <w:tcPr>
            <w:tcW w:w="701" w:type="dxa"/>
            <w:vAlign w:val="center"/>
          </w:tcPr>
          <w:p>
            <w:pPr>
              <w:widowControl/>
              <w:jc w:val="left"/>
              <w:rPr>
                <w:rFonts w:ascii="宋体" w:hAnsi="宋体" w:cs="仿宋"/>
                <w:szCs w:val="21"/>
              </w:rPr>
            </w:pPr>
            <w:r>
              <w:rPr>
                <w:rFonts w:hint="eastAsia" w:ascii="宋体" w:hAnsi="宋体" w:cs="仿宋"/>
                <w:szCs w:val="21"/>
              </w:rPr>
              <w:t>2</w:t>
            </w:r>
          </w:p>
        </w:tc>
        <w:tc>
          <w:tcPr>
            <w:tcW w:w="2453" w:type="dxa"/>
            <w:vAlign w:val="center"/>
          </w:tcPr>
          <w:p>
            <w:pPr>
              <w:widowControl/>
              <w:jc w:val="left"/>
              <w:rPr>
                <w:rFonts w:ascii="宋体" w:hAnsi="宋体" w:cs="仿宋"/>
                <w:szCs w:val="21"/>
              </w:rPr>
            </w:pPr>
            <w:r>
              <w:rPr>
                <w:rFonts w:ascii="宋体" w:hAnsi="宋体" w:cs="仿宋"/>
                <w:szCs w:val="21"/>
              </w:rPr>
              <w:t>投标人获奖（荣誉）情况</w:t>
            </w:r>
          </w:p>
        </w:tc>
        <w:tc>
          <w:tcPr>
            <w:tcW w:w="835" w:type="dxa"/>
            <w:vAlign w:val="center"/>
          </w:tcPr>
          <w:p>
            <w:pPr>
              <w:widowControl/>
              <w:jc w:val="left"/>
              <w:rPr>
                <w:rFonts w:ascii="宋体" w:hAnsi="宋体" w:cs="仿宋"/>
                <w:szCs w:val="21"/>
              </w:rPr>
            </w:pPr>
            <w:r>
              <w:rPr>
                <w:rFonts w:hint="eastAsia" w:ascii="宋体" w:hAnsi="宋体" w:cs="仿宋"/>
                <w:szCs w:val="21"/>
              </w:rPr>
              <w:t>5</w:t>
            </w:r>
          </w:p>
        </w:tc>
        <w:tc>
          <w:tcPr>
            <w:tcW w:w="1065" w:type="dxa"/>
            <w:vAlign w:val="center"/>
          </w:tcPr>
          <w:p>
            <w:pPr>
              <w:widowControl/>
              <w:jc w:val="left"/>
              <w:rPr>
                <w:rFonts w:ascii="宋体" w:hAnsi="宋体" w:cs="仿宋"/>
                <w:szCs w:val="21"/>
              </w:rPr>
            </w:pPr>
            <w:r>
              <w:rPr>
                <w:rFonts w:hint="eastAsia" w:ascii="宋体" w:hAnsi="宋体" w:cs="仿宋"/>
                <w:szCs w:val="21"/>
              </w:rPr>
              <w:t>专家打分</w:t>
            </w:r>
          </w:p>
        </w:tc>
        <w:tc>
          <w:tcPr>
            <w:tcW w:w="3132" w:type="dxa"/>
            <w:vAlign w:val="center"/>
          </w:tcPr>
          <w:p>
            <w:pPr>
              <w:widowControl/>
              <w:jc w:val="left"/>
              <w:rPr>
                <w:rFonts w:ascii="宋体" w:hAnsi="宋体" w:cs="仿宋"/>
                <w:szCs w:val="21"/>
              </w:rPr>
            </w:pPr>
            <w:r>
              <w:rPr>
                <w:rFonts w:ascii="宋体" w:hAnsi="宋体" w:cs="仿宋"/>
                <w:szCs w:val="21"/>
              </w:rPr>
              <w:t>请提供</w:t>
            </w:r>
            <w:r>
              <w:rPr>
                <w:rFonts w:hint="eastAsia" w:ascii="宋体" w:hAnsi="宋体" w:cs="仿宋"/>
                <w:szCs w:val="21"/>
              </w:rPr>
              <w:t>咨询成果类</w:t>
            </w:r>
            <w:r>
              <w:rPr>
                <w:rFonts w:ascii="宋体" w:hAnsi="宋体" w:cs="仿宋"/>
                <w:szCs w:val="21"/>
              </w:rPr>
              <w:t>奖励证明扫描件，原件备查。横向比较打分，评价为优得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cs="仿宋"/>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jc w:val="left"/>
              <w:rPr>
                <w:rFonts w:ascii="宋体" w:hAnsi="宋体" w:cs="仿宋"/>
                <w:szCs w:val="21"/>
              </w:rPr>
            </w:pPr>
          </w:p>
        </w:tc>
        <w:tc>
          <w:tcPr>
            <w:tcW w:w="701" w:type="dxa"/>
            <w:vAlign w:val="center"/>
          </w:tcPr>
          <w:p>
            <w:pPr>
              <w:widowControl/>
              <w:jc w:val="left"/>
              <w:rPr>
                <w:rFonts w:ascii="宋体" w:hAnsi="宋体" w:cs="仿宋"/>
                <w:szCs w:val="21"/>
              </w:rPr>
            </w:pPr>
            <w:r>
              <w:rPr>
                <w:rFonts w:hint="eastAsia" w:ascii="宋体" w:hAnsi="宋体" w:cs="仿宋"/>
                <w:szCs w:val="21"/>
              </w:rPr>
              <w:t>3</w:t>
            </w:r>
          </w:p>
        </w:tc>
        <w:tc>
          <w:tcPr>
            <w:tcW w:w="2453" w:type="dxa"/>
            <w:vAlign w:val="center"/>
          </w:tcPr>
          <w:p>
            <w:pPr>
              <w:widowControl/>
              <w:jc w:val="left"/>
              <w:rPr>
                <w:rFonts w:ascii="宋体" w:hAnsi="宋体" w:cs="仿宋"/>
                <w:szCs w:val="21"/>
              </w:rPr>
            </w:pPr>
            <w:r>
              <w:rPr>
                <w:rFonts w:ascii="宋体" w:hAnsi="宋体" w:cs="仿宋"/>
                <w:szCs w:val="21"/>
              </w:rPr>
              <w:t>服务网点（场地）</w:t>
            </w:r>
          </w:p>
        </w:tc>
        <w:tc>
          <w:tcPr>
            <w:tcW w:w="835" w:type="dxa"/>
            <w:vAlign w:val="center"/>
          </w:tcPr>
          <w:p>
            <w:pPr>
              <w:widowControl/>
              <w:jc w:val="left"/>
              <w:rPr>
                <w:rFonts w:ascii="宋体" w:hAnsi="宋体" w:cs="仿宋"/>
                <w:szCs w:val="21"/>
              </w:rPr>
            </w:pPr>
            <w:r>
              <w:rPr>
                <w:rFonts w:ascii="宋体" w:hAnsi="宋体" w:cs="仿宋"/>
                <w:szCs w:val="21"/>
              </w:rPr>
              <w:t>1</w:t>
            </w:r>
          </w:p>
        </w:tc>
        <w:tc>
          <w:tcPr>
            <w:tcW w:w="1065" w:type="dxa"/>
            <w:vAlign w:val="center"/>
          </w:tcPr>
          <w:p>
            <w:pPr>
              <w:widowControl/>
              <w:jc w:val="left"/>
              <w:rPr>
                <w:rFonts w:ascii="宋体" w:hAnsi="宋体" w:cs="仿宋"/>
                <w:szCs w:val="21"/>
              </w:rPr>
            </w:pPr>
            <w:r>
              <w:rPr>
                <w:rFonts w:hint="eastAsia" w:ascii="宋体" w:hAnsi="宋体" w:cs="仿宋"/>
                <w:szCs w:val="21"/>
              </w:rPr>
              <w:t>专家打分</w:t>
            </w:r>
          </w:p>
        </w:tc>
        <w:tc>
          <w:tcPr>
            <w:tcW w:w="3132" w:type="dxa"/>
            <w:vAlign w:val="center"/>
          </w:tcPr>
          <w:p>
            <w:pPr>
              <w:widowControl/>
              <w:jc w:val="left"/>
              <w:rPr>
                <w:rFonts w:ascii="宋体" w:hAnsi="宋体" w:cs="仿宋"/>
                <w:szCs w:val="21"/>
              </w:rPr>
            </w:pPr>
            <w:r>
              <w:rPr>
                <w:rFonts w:ascii="宋体" w:hAnsi="宋体" w:cs="仿宋"/>
                <w:szCs w:val="21"/>
              </w:rPr>
              <w:t>具有广东省内服务网点得1分，没有不得分。</w:t>
            </w:r>
          </w:p>
          <w:p>
            <w:pPr>
              <w:widowControl/>
              <w:jc w:val="left"/>
              <w:rPr>
                <w:rFonts w:ascii="宋体" w:hAnsi="宋体" w:cs="仿宋"/>
                <w:szCs w:val="21"/>
              </w:rPr>
            </w:pPr>
            <w:r>
              <w:rPr>
                <w:rFonts w:ascii="宋体" w:hAnsi="宋体" w:cs="仿宋"/>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shd w:val="clear" w:color="auto" w:fill="auto"/>
            <w:vAlign w:val="center"/>
          </w:tcPr>
          <w:p>
            <w:pPr>
              <w:widowControl/>
              <w:jc w:val="left"/>
              <w:rPr>
                <w:rFonts w:ascii="宋体" w:hAnsi="宋体" w:cs="仿宋"/>
                <w:szCs w:val="21"/>
              </w:rPr>
            </w:pPr>
          </w:p>
        </w:tc>
        <w:tc>
          <w:tcPr>
            <w:tcW w:w="701" w:type="dxa"/>
            <w:shd w:val="clear" w:color="auto" w:fill="FFFFFF" w:themeFill="background1"/>
            <w:vAlign w:val="center"/>
          </w:tcPr>
          <w:p>
            <w:pPr>
              <w:widowControl/>
              <w:jc w:val="left"/>
              <w:rPr>
                <w:rFonts w:ascii="宋体" w:hAnsi="宋体" w:cs="仿宋"/>
                <w:szCs w:val="21"/>
              </w:rPr>
            </w:pPr>
            <w:r>
              <w:rPr>
                <w:rFonts w:hint="eastAsia" w:ascii="宋体" w:hAnsi="宋体" w:cs="仿宋"/>
                <w:szCs w:val="21"/>
              </w:rPr>
              <w:t>4</w:t>
            </w:r>
          </w:p>
        </w:tc>
        <w:tc>
          <w:tcPr>
            <w:tcW w:w="2453" w:type="dxa"/>
            <w:shd w:val="clear" w:color="auto" w:fill="FFFFFF" w:themeFill="background1"/>
            <w:vAlign w:val="center"/>
          </w:tcPr>
          <w:p>
            <w:pPr>
              <w:widowControl/>
              <w:jc w:val="left"/>
              <w:rPr>
                <w:rFonts w:ascii="宋体" w:hAnsi="宋体" w:cs="仿宋"/>
                <w:szCs w:val="21"/>
              </w:rPr>
            </w:pPr>
            <w:r>
              <w:rPr>
                <w:rFonts w:ascii="宋体" w:hAnsi="宋体" w:cs="仿宋"/>
                <w:szCs w:val="21"/>
              </w:rPr>
              <w:t>项目完成（服务期满）后的服务承诺</w:t>
            </w:r>
          </w:p>
        </w:tc>
        <w:tc>
          <w:tcPr>
            <w:tcW w:w="835" w:type="dxa"/>
            <w:shd w:val="clear" w:color="auto" w:fill="FFFFFF" w:themeFill="background1"/>
            <w:vAlign w:val="center"/>
          </w:tcPr>
          <w:p>
            <w:pPr>
              <w:widowControl/>
              <w:jc w:val="left"/>
              <w:rPr>
                <w:rFonts w:ascii="宋体" w:hAnsi="宋体" w:cs="仿宋"/>
                <w:szCs w:val="21"/>
              </w:rPr>
            </w:pPr>
            <w:r>
              <w:rPr>
                <w:rFonts w:ascii="宋体" w:hAnsi="宋体" w:cs="仿宋"/>
                <w:szCs w:val="21"/>
              </w:rPr>
              <w:t>2</w:t>
            </w:r>
          </w:p>
        </w:tc>
        <w:tc>
          <w:tcPr>
            <w:tcW w:w="1065" w:type="dxa"/>
            <w:shd w:val="clear" w:color="auto" w:fill="FFFFFF" w:themeFill="background1"/>
            <w:vAlign w:val="center"/>
          </w:tcPr>
          <w:p>
            <w:pPr>
              <w:widowControl/>
              <w:jc w:val="left"/>
              <w:rPr>
                <w:rFonts w:ascii="宋体" w:hAnsi="宋体" w:cs="仿宋"/>
                <w:szCs w:val="21"/>
              </w:rPr>
            </w:pPr>
            <w:r>
              <w:rPr>
                <w:rFonts w:hint="eastAsia" w:ascii="宋体" w:hAnsi="宋体" w:cs="仿宋"/>
                <w:szCs w:val="21"/>
              </w:rPr>
              <w:t>专家打分</w:t>
            </w:r>
          </w:p>
        </w:tc>
        <w:tc>
          <w:tcPr>
            <w:tcW w:w="3132" w:type="dxa"/>
            <w:shd w:val="clear" w:color="auto" w:fill="FFFFFF" w:themeFill="background1"/>
            <w:vAlign w:val="center"/>
          </w:tcPr>
          <w:p>
            <w:pPr>
              <w:widowControl/>
              <w:jc w:val="left"/>
              <w:rPr>
                <w:rFonts w:ascii="宋体" w:hAnsi="宋体" w:cs="仿宋"/>
                <w:szCs w:val="21"/>
              </w:rPr>
            </w:pPr>
            <w:r>
              <w:rPr>
                <w:rFonts w:ascii="宋体" w:hAnsi="宋体" w:cs="仿宋"/>
                <w:szCs w:val="21"/>
              </w:rPr>
              <w:t>比较评价服务期满后在劳动合同纠纷、经济纠纷和安全隐患处置等方面的承诺情况：评价为优得</w:t>
            </w:r>
            <w:r>
              <w:rPr>
                <w:rFonts w:hint="eastAsia" w:ascii="宋体" w:hAnsi="宋体" w:cs="仿宋"/>
                <w:szCs w:val="21"/>
              </w:rPr>
              <w:t>2</w:t>
            </w:r>
            <w:r>
              <w:rPr>
                <w:rFonts w:ascii="宋体" w:hAnsi="宋体" w:cs="仿宋"/>
                <w:szCs w:val="21"/>
              </w:rPr>
              <w:t>分；评价为良得</w:t>
            </w:r>
            <w:r>
              <w:rPr>
                <w:rFonts w:hint="eastAsia" w:ascii="宋体" w:hAnsi="宋体" w:cs="仿宋"/>
                <w:szCs w:val="21"/>
              </w:rPr>
              <w:t>1</w:t>
            </w:r>
            <w:r>
              <w:rPr>
                <w:rFonts w:ascii="宋体" w:hAnsi="宋体" w:cs="仿宋"/>
                <w:szCs w:val="21"/>
              </w:rPr>
              <w:t>分；评价为中得</w:t>
            </w:r>
            <w:r>
              <w:rPr>
                <w:rFonts w:hint="eastAsia" w:ascii="宋体" w:hAnsi="宋体" w:cs="仿宋"/>
                <w:szCs w:val="21"/>
              </w:rPr>
              <w:t>0.5</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shd w:val="clear" w:color="auto" w:fill="auto"/>
            <w:vAlign w:val="center"/>
          </w:tcPr>
          <w:p>
            <w:pPr>
              <w:widowControl/>
              <w:jc w:val="left"/>
              <w:rPr>
                <w:rFonts w:ascii="宋体" w:hAnsi="宋体" w:cs="仿宋"/>
                <w:szCs w:val="21"/>
              </w:rPr>
            </w:pPr>
          </w:p>
        </w:tc>
        <w:tc>
          <w:tcPr>
            <w:tcW w:w="701" w:type="dxa"/>
            <w:shd w:val="clear" w:color="auto" w:fill="FFFFFF" w:themeFill="background1"/>
            <w:vAlign w:val="center"/>
          </w:tcPr>
          <w:p>
            <w:pPr>
              <w:widowControl/>
              <w:jc w:val="left"/>
              <w:rPr>
                <w:rFonts w:ascii="宋体" w:hAnsi="宋体" w:cs="仿宋"/>
                <w:szCs w:val="21"/>
              </w:rPr>
            </w:pPr>
            <w:r>
              <w:rPr>
                <w:rFonts w:hint="eastAsia" w:ascii="宋体" w:hAnsi="宋体" w:cs="仿宋"/>
                <w:szCs w:val="21"/>
              </w:rPr>
              <w:t>5</w:t>
            </w:r>
          </w:p>
        </w:tc>
        <w:tc>
          <w:tcPr>
            <w:tcW w:w="2453" w:type="dxa"/>
            <w:shd w:val="clear" w:color="auto" w:fill="FFFFFF" w:themeFill="background1"/>
            <w:vAlign w:val="center"/>
          </w:tcPr>
          <w:p>
            <w:pPr>
              <w:widowControl/>
              <w:jc w:val="left"/>
              <w:rPr>
                <w:rFonts w:ascii="宋体" w:hAnsi="宋体" w:cs="仿宋"/>
                <w:szCs w:val="21"/>
              </w:rPr>
            </w:pPr>
            <w:r>
              <w:rPr>
                <w:rFonts w:ascii="宋体" w:hAnsi="宋体" w:cs="仿宋"/>
                <w:szCs w:val="21"/>
              </w:rPr>
              <w:t>报价合理性</w:t>
            </w:r>
          </w:p>
        </w:tc>
        <w:tc>
          <w:tcPr>
            <w:tcW w:w="835" w:type="dxa"/>
            <w:shd w:val="clear" w:color="auto" w:fill="FFFFFF" w:themeFill="background1"/>
            <w:vAlign w:val="center"/>
          </w:tcPr>
          <w:p>
            <w:pPr>
              <w:widowControl/>
              <w:jc w:val="left"/>
              <w:rPr>
                <w:rFonts w:ascii="宋体" w:hAnsi="宋体" w:cs="仿宋"/>
                <w:szCs w:val="21"/>
              </w:rPr>
            </w:pPr>
            <w:r>
              <w:rPr>
                <w:rFonts w:ascii="宋体" w:hAnsi="宋体" w:cs="仿宋"/>
                <w:szCs w:val="21"/>
              </w:rPr>
              <w:t>2</w:t>
            </w:r>
          </w:p>
        </w:tc>
        <w:tc>
          <w:tcPr>
            <w:tcW w:w="1065" w:type="dxa"/>
            <w:shd w:val="clear" w:color="auto" w:fill="FFFFFF" w:themeFill="background1"/>
            <w:vAlign w:val="center"/>
          </w:tcPr>
          <w:p>
            <w:pPr>
              <w:widowControl/>
              <w:jc w:val="left"/>
              <w:rPr>
                <w:rFonts w:ascii="宋体" w:hAnsi="宋体" w:cs="仿宋"/>
                <w:szCs w:val="21"/>
              </w:rPr>
            </w:pPr>
            <w:r>
              <w:rPr>
                <w:rFonts w:hint="eastAsia" w:ascii="宋体" w:hAnsi="宋体" w:cs="仿宋"/>
                <w:szCs w:val="21"/>
              </w:rPr>
              <w:t>专家打分</w:t>
            </w:r>
          </w:p>
        </w:tc>
        <w:tc>
          <w:tcPr>
            <w:tcW w:w="3132" w:type="dxa"/>
            <w:shd w:val="clear" w:color="auto" w:fill="FFFFFF" w:themeFill="background1"/>
            <w:vAlign w:val="center"/>
          </w:tcPr>
          <w:p>
            <w:pPr>
              <w:widowControl/>
              <w:jc w:val="left"/>
              <w:rPr>
                <w:rFonts w:ascii="宋体" w:hAnsi="宋体" w:cs="仿宋"/>
                <w:szCs w:val="21"/>
              </w:rPr>
            </w:pPr>
            <w:r>
              <w:rPr>
                <w:rFonts w:ascii="宋体" w:hAnsi="宋体" w:cs="仿宋"/>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cs="仿宋"/>
                <w:szCs w:val="21"/>
              </w:rPr>
              <w:t>2</w:t>
            </w:r>
            <w:r>
              <w:rPr>
                <w:rFonts w:ascii="宋体" w:hAnsi="宋体" w:cs="仿宋"/>
                <w:szCs w:val="21"/>
              </w:rPr>
              <w:t>分；评价为良得</w:t>
            </w:r>
            <w:r>
              <w:rPr>
                <w:rFonts w:hint="eastAsia" w:ascii="宋体" w:hAnsi="宋体" w:cs="仿宋"/>
                <w:szCs w:val="21"/>
              </w:rPr>
              <w:t>1</w:t>
            </w:r>
            <w:r>
              <w:rPr>
                <w:rFonts w:ascii="宋体" w:hAnsi="宋体" w:cs="仿宋"/>
                <w:szCs w:val="21"/>
              </w:rPr>
              <w:t>分；评价为中得</w:t>
            </w:r>
            <w:r>
              <w:rPr>
                <w:rFonts w:hint="eastAsia" w:ascii="宋体" w:hAnsi="宋体" w:cs="仿宋"/>
                <w:szCs w:val="21"/>
              </w:rPr>
              <w:t>0.5</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widowControl/>
              <w:jc w:val="left"/>
              <w:rPr>
                <w:rFonts w:ascii="宋体" w:hAnsi="宋体" w:cs="仿宋"/>
                <w:szCs w:val="21"/>
              </w:rPr>
            </w:pPr>
            <w:r>
              <w:rPr>
                <w:rFonts w:hint="eastAsia" w:ascii="宋体" w:hAnsi="宋体" w:cs="仿宋"/>
                <w:szCs w:val="21"/>
              </w:rPr>
              <w:t>4</w:t>
            </w:r>
          </w:p>
        </w:tc>
        <w:tc>
          <w:tcPr>
            <w:tcW w:w="5054" w:type="dxa"/>
            <w:gridSpan w:val="4"/>
          </w:tcPr>
          <w:p>
            <w:pPr>
              <w:widowControl/>
              <w:jc w:val="left"/>
              <w:rPr>
                <w:rFonts w:ascii="宋体" w:hAnsi="宋体" w:cs="仿宋"/>
                <w:szCs w:val="21"/>
              </w:rPr>
            </w:pPr>
            <w:r>
              <w:rPr>
                <w:rFonts w:hint="eastAsia" w:ascii="宋体" w:hAnsi="宋体" w:cs="仿宋"/>
                <w:szCs w:val="21"/>
              </w:rPr>
              <w:t>诚信情况</w:t>
            </w:r>
          </w:p>
        </w:tc>
        <w:tc>
          <w:tcPr>
            <w:tcW w:w="3132" w:type="dxa"/>
            <w:vAlign w:val="center"/>
          </w:tcPr>
          <w:p>
            <w:pPr>
              <w:widowControl/>
              <w:jc w:val="left"/>
              <w:rPr>
                <w:rFonts w:ascii="宋体" w:hAnsi="宋体" w:cs="仿宋"/>
                <w:szCs w:val="21"/>
              </w:rPr>
            </w:pPr>
            <w:r>
              <w:rPr>
                <w:rFonts w:hint="eastAsia" w:ascii="宋体" w:hAnsi="宋体" w:cs="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jc w:val="left"/>
              <w:rPr>
                <w:rFonts w:ascii="宋体" w:hAnsi="宋体" w:cs="仿宋"/>
                <w:szCs w:val="21"/>
              </w:rPr>
            </w:pPr>
          </w:p>
        </w:tc>
        <w:tc>
          <w:tcPr>
            <w:tcW w:w="701" w:type="dxa"/>
          </w:tcPr>
          <w:p>
            <w:pPr>
              <w:widowControl/>
              <w:jc w:val="left"/>
              <w:rPr>
                <w:rFonts w:ascii="宋体" w:hAnsi="宋体" w:cs="仿宋"/>
                <w:szCs w:val="21"/>
              </w:rPr>
            </w:pPr>
            <w:r>
              <w:rPr>
                <w:rFonts w:hint="eastAsia" w:ascii="宋体" w:hAnsi="宋体" w:cs="仿宋"/>
                <w:szCs w:val="21"/>
              </w:rPr>
              <w:t>序号</w:t>
            </w:r>
          </w:p>
        </w:tc>
        <w:tc>
          <w:tcPr>
            <w:tcW w:w="2453" w:type="dxa"/>
          </w:tcPr>
          <w:p>
            <w:pPr>
              <w:widowControl/>
              <w:jc w:val="left"/>
              <w:rPr>
                <w:rFonts w:ascii="宋体" w:hAnsi="宋体" w:cs="仿宋"/>
                <w:szCs w:val="21"/>
              </w:rPr>
            </w:pPr>
            <w:r>
              <w:rPr>
                <w:rFonts w:hint="eastAsia" w:ascii="宋体" w:hAnsi="宋体" w:cs="仿宋"/>
                <w:szCs w:val="21"/>
              </w:rPr>
              <w:t>评分因素</w:t>
            </w:r>
          </w:p>
        </w:tc>
        <w:tc>
          <w:tcPr>
            <w:tcW w:w="835" w:type="dxa"/>
          </w:tcPr>
          <w:p>
            <w:pPr>
              <w:widowControl/>
              <w:jc w:val="left"/>
              <w:rPr>
                <w:rFonts w:ascii="宋体" w:hAnsi="宋体" w:cs="仿宋"/>
                <w:szCs w:val="21"/>
              </w:rPr>
            </w:pPr>
            <w:r>
              <w:rPr>
                <w:rFonts w:hint="eastAsia" w:ascii="宋体" w:hAnsi="宋体" w:cs="仿宋"/>
                <w:szCs w:val="21"/>
              </w:rPr>
              <w:t>权重</w:t>
            </w:r>
          </w:p>
        </w:tc>
        <w:tc>
          <w:tcPr>
            <w:tcW w:w="1065" w:type="dxa"/>
          </w:tcPr>
          <w:p>
            <w:pPr>
              <w:widowControl/>
              <w:jc w:val="left"/>
              <w:rPr>
                <w:rFonts w:ascii="宋体" w:hAnsi="宋体" w:cs="仿宋"/>
                <w:szCs w:val="21"/>
              </w:rPr>
            </w:pPr>
            <w:r>
              <w:rPr>
                <w:rFonts w:hint="eastAsia" w:ascii="宋体" w:hAnsi="宋体" w:cs="仿宋"/>
                <w:szCs w:val="21"/>
              </w:rPr>
              <w:t>评分方式</w:t>
            </w:r>
          </w:p>
        </w:tc>
        <w:tc>
          <w:tcPr>
            <w:tcW w:w="3132" w:type="dxa"/>
          </w:tcPr>
          <w:p>
            <w:pPr>
              <w:widowControl/>
              <w:jc w:val="left"/>
              <w:rPr>
                <w:rFonts w:ascii="宋体" w:hAnsi="宋体" w:cs="仿宋"/>
                <w:szCs w:val="21"/>
              </w:rPr>
            </w:pPr>
            <w:r>
              <w:rPr>
                <w:rFonts w:hint="eastAsia" w:ascii="宋体" w:hAnsi="宋体" w:cs="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jc w:val="left"/>
              <w:rPr>
                <w:rFonts w:ascii="宋体" w:hAnsi="宋体" w:cs="仿宋"/>
                <w:szCs w:val="21"/>
              </w:rPr>
            </w:pPr>
          </w:p>
        </w:tc>
        <w:tc>
          <w:tcPr>
            <w:tcW w:w="701" w:type="dxa"/>
            <w:vAlign w:val="center"/>
          </w:tcPr>
          <w:p>
            <w:pPr>
              <w:widowControl/>
              <w:jc w:val="left"/>
              <w:rPr>
                <w:rFonts w:ascii="宋体" w:hAnsi="宋体" w:cs="仿宋"/>
                <w:szCs w:val="21"/>
              </w:rPr>
            </w:pPr>
            <w:r>
              <w:rPr>
                <w:rFonts w:hint="eastAsia" w:ascii="宋体" w:hAnsi="宋体" w:cs="仿宋"/>
                <w:szCs w:val="21"/>
              </w:rPr>
              <w:t>1</w:t>
            </w:r>
          </w:p>
        </w:tc>
        <w:tc>
          <w:tcPr>
            <w:tcW w:w="2453" w:type="dxa"/>
            <w:vAlign w:val="center"/>
          </w:tcPr>
          <w:p>
            <w:pPr>
              <w:widowControl/>
              <w:jc w:val="left"/>
              <w:rPr>
                <w:rFonts w:ascii="宋体" w:hAnsi="宋体" w:cs="仿宋"/>
                <w:szCs w:val="21"/>
              </w:rPr>
            </w:pPr>
            <w:r>
              <w:rPr>
                <w:rFonts w:hint="eastAsia" w:ascii="宋体" w:hAnsi="宋体" w:cs="仿宋"/>
                <w:szCs w:val="21"/>
              </w:rPr>
              <w:t>诚信评价</w:t>
            </w:r>
          </w:p>
        </w:tc>
        <w:tc>
          <w:tcPr>
            <w:tcW w:w="835" w:type="dxa"/>
            <w:vAlign w:val="center"/>
          </w:tcPr>
          <w:p>
            <w:pPr>
              <w:widowControl/>
              <w:jc w:val="left"/>
              <w:rPr>
                <w:rFonts w:ascii="宋体" w:hAnsi="宋体" w:cs="仿宋"/>
                <w:szCs w:val="21"/>
              </w:rPr>
            </w:pPr>
            <w:r>
              <w:rPr>
                <w:rFonts w:hint="eastAsia" w:ascii="宋体" w:hAnsi="宋体" w:cs="仿宋"/>
                <w:szCs w:val="21"/>
              </w:rPr>
              <w:t>5</w:t>
            </w:r>
          </w:p>
        </w:tc>
        <w:tc>
          <w:tcPr>
            <w:tcW w:w="1065" w:type="dxa"/>
            <w:vAlign w:val="center"/>
          </w:tcPr>
          <w:p>
            <w:pPr>
              <w:widowControl/>
              <w:jc w:val="left"/>
              <w:rPr>
                <w:rFonts w:ascii="宋体" w:hAnsi="宋体" w:cs="仿宋"/>
                <w:szCs w:val="21"/>
              </w:rPr>
            </w:pPr>
            <w:r>
              <w:rPr>
                <w:rFonts w:hint="eastAsia" w:ascii="宋体" w:hAnsi="宋体" w:cs="仿宋"/>
                <w:szCs w:val="21"/>
              </w:rPr>
              <w:t>专家打分</w:t>
            </w:r>
          </w:p>
        </w:tc>
        <w:tc>
          <w:tcPr>
            <w:tcW w:w="3132" w:type="dxa"/>
          </w:tcPr>
          <w:p>
            <w:pPr>
              <w:widowControl/>
              <w:jc w:val="left"/>
              <w:rPr>
                <w:rFonts w:ascii="宋体" w:hAnsi="宋体" w:cs="仿宋"/>
                <w:szCs w:val="21"/>
              </w:rPr>
            </w:pPr>
            <w:r>
              <w:rPr>
                <w:rFonts w:hint="eastAsia" w:ascii="宋体" w:hAnsi="宋体" w:cs="仿宋"/>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widowControl/>
        <w:jc w:val="left"/>
        <w:rPr>
          <w:rFonts w:ascii="宋体" w:hAnsi="宋体" w:cs="仿宋"/>
          <w:szCs w:val="21"/>
        </w:rPr>
      </w:pPr>
      <w:r>
        <w:rPr>
          <w:rFonts w:hint="eastAsia" w:ascii="宋体" w:hAnsi="宋体" w:cs="仿宋"/>
          <w:szCs w:val="21"/>
        </w:rPr>
        <w:t>说明：</w:t>
      </w:r>
    </w:p>
    <w:p>
      <w:pPr>
        <w:widowControl/>
        <w:jc w:val="left"/>
        <w:rPr>
          <w:rFonts w:ascii="宋体" w:hAnsi="宋体" w:cs="仿宋"/>
          <w:szCs w:val="21"/>
        </w:rPr>
      </w:pPr>
      <w:r>
        <w:rPr>
          <w:rFonts w:hint="eastAsia" w:ascii="宋体" w:hAnsi="宋体" w:cs="仿宋"/>
          <w:szCs w:val="21"/>
        </w:rPr>
        <w:t>1、本评分表中每一栏的得分最高不得超过该项评审指标的分值。</w:t>
      </w:r>
    </w:p>
    <w:p>
      <w:pPr>
        <w:widowControl/>
        <w:jc w:val="left"/>
        <w:rPr>
          <w:rFonts w:ascii="宋体" w:hAnsi="宋体"/>
          <w:szCs w:val="21"/>
        </w:rPr>
      </w:pPr>
      <w:r>
        <w:rPr>
          <w:rFonts w:hint="eastAsia" w:ascii="宋体" w:hAnsi="宋体" w:cs="仿宋"/>
          <w:szCs w:val="21"/>
        </w:rPr>
        <w:t>2、表中要求提供相关计分证明文件的内容，投标文件中须明确加以说明，未按要求提供相关文件或说明不清楚的按不符合要求处理。</w:t>
      </w:r>
    </w:p>
    <w:p/>
    <w:p>
      <w:pPr>
        <w:rPr>
          <w:rFonts w:ascii="宋体" w:hAnsi="宋体"/>
          <w:sz w:val="40"/>
          <w:szCs w:val="40"/>
        </w:rPr>
      </w:pPr>
      <w:r>
        <w:rPr>
          <w:rFonts w:hint="eastAsia" w:ascii="宋体" w:hAnsi="宋体"/>
          <w:sz w:val="40"/>
          <w:szCs w:val="40"/>
        </w:rPr>
        <w:br w:type="page"/>
      </w:r>
    </w:p>
    <w:p>
      <w:pPr>
        <w:pStyle w:val="2"/>
      </w:pPr>
    </w:p>
    <w:p>
      <w:pPr>
        <w:spacing w:after="78"/>
        <w:jc w:val="left"/>
        <w:outlineLvl w:val="0"/>
        <w:rPr>
          <w:rFonts w:ascii="宋体" w:hAnsi="宋体"/>
          <w:color w:val="000000"/>
          <w:sz w:val="40"/>
          <w:szCs w:val="40"/>
        </w:rPr>
      </w:pPr>
      <w:r>
        <w:rPr>
          <w:rFonts w:hint="eastAsia" w:ascii="宋体" w:hAnsi="宋体"/>
          <w:color w:val="000000"/>
          <w:sz w:val="40"/>
          <w:szCs w:val="40"/>
        </w:rPr>
        <w:t>项目：总预算17万元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tcPr>
          <w:p>
            <w:pPr>
              <w:spacing w:after="78"/>
              <w:rPr>
                <w:rFonts w:ascii="仿宋_GB2312" w:eastAsia="仿宋_GB2312"/>
                <w:color w:val="000000"/>
                <w:sz w:val="22"/>
                <w:szCs w:val="22"/>
              </w:rPr>
            </w:pPr>
            <w:r>
              <w:rPr>
                <w:rFonts w:hint="eastAsia"/>
                <w:color w:val="000000"/>
                <w:sz w:val="22"/>
                <w:szCs w:val="22"/>
              </w:rPr>
              <w:t>深圳儿童医院高水平医院建设设备购置项目建议书编制咨询服务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tcBorders>
              <w:top w:val="single" w:color="auto" w:sz="4" w:space="0"/>
              <w:left w:val="single" w:color="auto" w:sz="4" w:space="0"/>
              <w:bottom w:val="single" w:color="auto" w:sz="4" w:space="0"/>
              <w:right w:val="single" w:color="auto" w:sz="4" w:space="0"/>
            </w:tcBorders>
          </w:tcPr>
          <w:p>
            <w:pPr>
              <w:spacing w:after="78"/>
              <w:rPr>
                <w:rFonts w:ascii="宋体" w:hAnsi="宋体"/>
                <w:color w:val="000000"/>
                <w:kern w:val="0"/>
                <w:sz w:val="22"/>
                <w:szCs w:val="22"/>
              </w:rPr>
            </w:pPr>
            <w:r>
              <w:rPr>
                <w:rFonts w:hint="eastAsia"/>
                <w:color w:val="000000"/>
                <w:sz w:val="22"/>
                <w:szCs w:val="22"/>
              </w:rPr>
              <w:t>上报发改部门申请立项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90" w:type="dxa"/>
            <w:tcBorders>
              <w:top w:val="single" w:color="auto" w:sz="4" w:space="0"/>
              <w:left w:val="single" w:color="auto" w:sz="4" w:space="0"/>
              <w:bottom w:val="single" w:color="auto" w:sz="4" w:space="0"/>
              <w:right w:val="single" w:color="auto" w:sz="4" w:space="0"/>
            </w:tcBorders>
          </w:tcPr>
          <w:p>
            <w:pPr>
              <w:spacing w:after="78"/>
              <w:rPr>
                <w:rFonts w:ascii="宋体" w:hAnsi="宋体"/>
                <w:bCs/>
                <w:color w:val="000000"/>
                <w:sz w:val="22"/>
                <w:szCs w:val="22"/>
              </w:rPr>
            </w:pPr>
            <w:r>
              <w:rPr>
                <w:rFonts w:hint="eastAsia" w:ascii="宋体" w:hAnsi="宋体"/>
                <w:color w:val="000000"/>
                <w:kern w:val="0"/>
                <w:sz w:val="22"/>
                <w:szCs w:val="22"/>
                <w:lang w:eastAsia="zh-CN"/>
              </w:rPr>
              <w:t>项目</w:t>
            </w:r>
            <w:r>
              <w:rPr>
                <w:rFonts w:hint="eastAsia" w:ascii="宋体" w:hAnsi="宋体"/>
                <w:color w:val="000000"/>
                <w:kern w:val="0"/>
                <w:sz w:val="22"/>
                <w:szCs w:val="22"/>
              </w:rPr>
              <w:t>内容</w:t>
            </w:r>
          </w:p>
        </w:tc>
        <w:tc>
          <w:tcPr>
            <w:tcW w:w="7750" w:type="dxa"/>
            <w:tcBorders>
              <w:top w:val="single" w:color="auto" w:sz="4" w:space="0"/>
              <w:left w:val="single" w:color="auto" w:sz="4" w:space="0"/>
              <w:bottom w:val="single" w:color="auto" w:sz="4" w:space="0"/>
              <w:right w:val="single" w:color="auto" w:sz="4" w:space="0"/>
            </w:tcBorders>
          </w:tcPr>
          <w:p>
            <w:pPr>
              <w:numPr>
                <w:ilvl w:val="255"/>
                <w:numId w:val="0"/>
              </w:numPr>
              <w:spacing w:after="78"/>
              <w:rPr>
                <w:color w:val="000000"/>
                <w:sz w:val="22"/>
                <w:szCs w:val="22"/>
              </w:rPr>
            </w:pPr>
            <w:r>
              <w:rPr>
                <w:rFonts w:hint="eastAsia"/>
                <w:color w:val="000000"/>
                <w:sz w:val="22"/>
                <w:szCs w:val="22"/>
              </w:rPr>
              <w:t>项目立项批复后，配合概算单位工作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lang w:val="en-AU"/>
              </w:rPr>
            </w:pPr>
            <w:r>
              <w:rPr>
                <w:rFonts w:hint="eastAsia" w:ascii="宋体" w:hAnsi="宋体"/>
                <w:color w:val="000000"/>
                <w:kern w:val="0"/>
                <w:sz w:val="22"/>
                <w:szCs w:val="22"/>
              </w:rPr>
              <w:t>商务参数</w:t>
            </w:r>
          </w:p>
        </w:tc>
        <w:tc>
          <w:tcPr>
            <w:tcW w:w="7750" w:type="dxa"/>
            <w:tcBorders>
              <w:top w:val="single" w:color="auto" w:sz="4" w:space="0"/>
              <w:left w:val="single" w:color="auto" w:sz="4" w:space="0"/>
              <w:bottom w:val="single" w:color="auto" w:sz="4" w:space="0"/>
              <w:right w:val="single" w:color="auto" w:sz="4" w:space="0"/>
            </w:tcBorders>
          </w:tcPr>
          <w:tbl>
            <w:tblPr>
              <w:tblStyle w:val="15"/>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trHeight w:val="1990" w:hRule="atLeast"/>
                <w:jc w:val="center"/>
              </w:trPr>
              <w:tc>
                <w:tcPr>
                  <w:tcW w:w="7766" w:type="dxa"/>
                </w:tcPr>
                <w:p>
                  <w:pPr>
                    <w:numPr>
                      <w:ilvl w:val="255"/>
                      <w:numId w:val="0"/>
                    </w:numPr>
                    <w:spacing w:after="78"/>
                    <w:ind w:left="360"/>
                    <w:rPr>
                      <w:color w:val="000000"/>
                      <w:sz w:val="22"/>
                      <w:szCs w:val="22"/>
                    </w:rPr>
                  </w:pPr>
                  <w:r>
                    <w:rPr>
                      <w:rFonts w:hint="eastAsia"/>
                      <w:color w:val="000000"/>
                      <w:sz w:val="22"/>
                      <w:szCs w:val="22"/>
                    </w:rPr>
                    <w:t>1、在深圳市注册或在或在深圳市注册有分支机构的具有独立法人资格企业，须提供营业执照复印件加盖投标人公章；</w:t>
                  </w:r>
                </w:p>
                <w:p>
                  <w:pPr>
                    <w:numPr>
                      <w:ilvl w:val="255"/>
                      <w:numId w:val="0"/>
                    </w:numPr>
                    <w:spacing w:after="78"/>
                    <w:ind w:left="360"/>
                    <w:rPr>
                      <w:color w:val="000000"/>
                      <w:sz w:val="22"/>
                      <w:szCs w:val="22"/>
                    </w:rPr>
                  </w:pPr>
                  <w:r>
                    <w:rPr>
                      <w:rFonts w:hint="eastAsia"/>
                      <w:color w:val="000000"/>
                      <w:sz w:val="22"/>
                      <w:szCs w:val="22"/>
                    </w:rPr>
                    <w:t>2、企业须在全国投资项目在线审批监督平台通过工程咨询单位备案，并提供备案公示信息复印件加盖投标人公章。</w:t>
                  </w:r>
                </w:p>
                <w:p>
                  <w:pPr>
                    <w:numPr>
                      <w:ilvl w:val="255"/>
                      <w:numId w:val="0"/>
                    </w:numPr>
                    <w:spacing w:after="78"/>
                    <w:ind w:firstLine="440" w:firstLineChars="200"/>
                    <w:rPr>
                      <w:color w:val="000000"/>
                      <w:sz w:val="22"/>
                      <w:szCs w:val="22"/>
                    </w:rPr>
                  </w:pPr>
                  <w:r>
                    <w:rPr>
                      <w:rFonts w:hint="eastAsia"/>
                      <w:color w:val="000000"/>
                      <w:sz w:val="22"/>
                      <w:szCs w:val="22"/>
                    </w:rPr>
                    <w:t>3、提供深圳儿童医院高水平医院建设设备购置项目建议书编制咨询服务（含国内市场调研、设备配置方案研究、进口设备论证），并配合评审直至发改部门审核通过的全过程咨询服务。</w:t>
                  </w:r>
                </w:p>
                <w:p>
                  <w:pPr>
                    <w:numPr>
                      <w:ilvl w:val="255"/>
                      <w:numId w:val="0"/>
                    </w:numPr>
                    <w:spacing w:after="78"/>
                    <w:ind w:left="360"/>
                    <w:rPr>
                      <w:color w:val="000000"/>
                      <w:sz w:val="22"/>
                      <w:szCs w:val="22"/>
                    </w:rPr>
                  </w:pPr>
                  <w:r>
                    <w:rPr>
                      <w:rFonts w:hint="eastAsia"/>
                      <w:color w:val="000000"/>
                      <w:sz w:val="22"/>
                      <w:szCs w:val="22"/>
                    </w:rPr>
                    <w:t>4、中标后60日完成深圳儿童医院高水平医院建设设备购置项目建议书编制。</w:t>
                  </w:r>
                </w:p>
                <w:p>
                  <w:pPr>
                    <w:numPr>
                      <w:ilvl w:val="255"/>
                      <w:numId w:val="0"/>
                    </w:numPr>
                    <w:spacing w:after="78"/>
                    <w:ind w:left="360"/>
                    <w:rPr>
                      <w:color w:val="000000"/>
                      <w:sz w:val="22"/>
                      <w:szCs w:val="22"/>
                    </w:rPr>
                  </w:pPr>
                  <w:r>
                    <w:rPr>
                      <w:rFonts w:hint="eastAsia"/>
                      <w:color w:val="000000"/>
                      <w:sz w:val="22"/>
                      <w:szCs w:val="22"/>
                    </w:rPr>
                    <w:t>5、投标限额及付款方式</w:t>
                  </w:r>
                </w:p>
                <w:p>
                  <w:pPr>
                    <w:numPr>
                      <w:ilvl w:val="255"/>
                      <w:numId w:val="0"/>
                    </w:numPr>
                    <w:spacing w:after="78"/>
                    <w:ind w:left="360"/>
                    <w:rPr>
                      <w:color w:val="000000"/>
                      <w:sz w:val="22"/>
                      <w:szCs w:val="22"/>
                    </w:rPr>
                  </w:pPr>
                  <w:r>
                    <w:rPr>
                      <w:rFonts w:hint="eastAsia"/>
                      <w:color w:val="000000"/>
                      <w:sz w:val="22"/>
                      <w:szCs w:val="22"/>
                    </w:rPr>
                    <w:t>按照国家发改委计划委员会及计价格【1999】1283号文件规定，本项目投资约1.74亿，项目建议书编制费约为23.8万元。</w:t>
                  </w:r>
                </w:p>
                <w:p>
                  <w:pPr>
                    <w:numPr>
                      <w:ilvl w:val="255"/>
                      <w:numId w:val="0"/>
                    </w:numPr>
                    <w:spacing w:after="78"/>
                    <w:ind w:left="360"/>
                    <w:rPr>
                      <w:color w:val="000000"/>
                      <w:sz w:val="22"/>
                      <w:szCs w:val="22"/>
                    </w:rPr>
                  </w:pPr>
                  <w:r>
                    <w:rPr>
                      <w:rFonts w:hint="eastAsia"/>
                      <w:color w:val="000000"/>
                      <w:sz w:val="22"/>
                      <w:szCs w:val="22"/>
                    </w:rPr>
                    <w:t>本次招标项目投标限额按标准收费下浮，报价上限为17万元（含），超过作废标处理。说明：合同最终结算价不超过立项批复中建议书咨询费。</w:t>
                  </w:r>
                </w:p>
                <w:p>
                  <w:pPr>
                    <w:numPr>
                      <w:ilvl w:val="255"/>
                      <w:numId w:val="0"/>
                    </w:numPr>
                    <w:spacing w:after="78"/>
                    <w:ind w:left="360"/>
                    <w:rPr>
                      <w:color w:val="000000"/>
                      <w:sz w:val="22"/>
                      <w:szCs w:val="22"/>
                    </w:rPr>
                  </w:pPr>
                  <w:r>
                    <w:rPr>
                      <w:rFonts w:hint="eastAsia"/>
                      <w:color w:val="000000"/>
                      <w:sz w:val="22"/>
                      <w:szCs w:val="22"/>
                    </w:rPr>
                    <w:t xml:space="preserve">付款方式: </w:t>
                  </w:r>
                  <w:r>
                    <w:rPr>
                      <w:rFonts w:hint="eastAsia"/>
                      <w:color w:val="000000"/>
                      <w:sz w:val="22"/>
                      <w:szCs w:val="22"/>
                      <w:lang w:val="zh-CN"/>
                    </w:rPr>
                    <w:t>本项目无预付款，待市发改项目立项批复或赋码并下达前期费用后一次性支付；</w:t>
                  </w:r>
                </w:p>
                <w:p>
                  <w:pPr>
                    <w:numPr>
                      <w:ilvl w:val="255"/>
                      <w:numId w:val="0"/>
                    </w:numPr>
                    <w:spacing w:after="78"/>
                    <w:ind w:left="360"/>
                    <w:rPr>
                      <w:color w:val="000000"/>
                      <w:sz w:val="22"/>
                      <w:szCs w:val="22"/>
                    </w:rPr>
                  </w:pPr>
                  <w:r>
                    <w:rPr>
                      <w:rFonts w:hint="eastAsia"/>
                      <w:color w:val="000000"/>
                      <w:sz w:val="22"/>
                      <w:szCs w:val="22"/>
                    </w:rPr>
                    <w:t>注：如该项目由于政策或不可抗力等因素导致废止，无法下达财委资金，则按中标人实际完成的工作量，经双方共同确认无误后，由采购人自筹经费按进度结算。若中标人已完成项目建议书编制及</w:t>
                  </w:r>
                  <w:r>
                    <w:rPr>
                      <w:color w:val="000000"/>
                      <w:sz w:val="22"/>
                      <w:szCs w:val="22"/>
                    </w:rPr>
                    <w:t>申报</w:t>
                  </w:r>
                  <w:r>
                    <w:rPr>
                      <w:rFonts w:hint="eastAsia"/>
                      <w:color w:val="000000"/>
                      <w:sz w:val="22"/>
                      <w:szCs w:val="22"/>
                    </w:rPr>
                    <w:t>，</w:t>
                  </w:r>
                  <w:r>
                    <w:rPr>
                      <w:color w:val="000000"/>
                      <w:sz w:val="22"/>
                      <w:szCs w:val="22"/>
                    </w:rPr>
                    <w:t>则</w:t>
                  </w:r>
                  <w:r>
                    <w:rPr>
                      <w:rFonts w:hint="eastAsia"/>
                      <w:color w:val="000000"/>
                      <w:sz w:val="22"/>
                      <w:szCs w:val="22"/>
                    </w:rPr>
                    <w:t>采购人支付合同约定的咨询费的60%作为补偿。</w:t>
                  </w:r>
                </w:p>
                <w:p>
                  <w:pPr>
                    <w:numPr>
                      <w:ilvl w:val="255"/>
                      <w:numId w:val="0"/>
                    </w:numPr>
                    <w:spacing w:after="78"/>
                    <w:ind w:left="360"/>
                    <w:rPr>
                      <w:color w:val="000000"/>
                      <w:sz w:val="22"/>
                      <w:szCs w:val="22"/>
                    </w:rPr>
                  </w:pPr>
                  <w:r>
                    <w:rPr>
                      <w:rFonts w:hint="eastAsia"/>
                      <w:color w:val="000000"/>
                      <w:sz w:val="22"/>
                      <w:szCs w:val="22"/>
                    </w:rPr>
                    <w:t>6、投标人编制工作方案</w:t>
                  </w:r>
                </w:p>
                <w:p>
                  <w:pPr>
                    <w:numPr>
                      <w:ilvl w:val="255"/>
                      <w:numId w:val="0"/>
                    </w:numPr>
                    <w:spacing w:after="78"/>
                    <w:ind w:left="360"/>
                    <w:rPr>
                      <w:color w:val="000000"/>
                      <w:sz w:val="22"/>
                      <w:szCs w:val="22"/>
                    </w:rPr>
                  </w:pPr>
                  <w:r>
                    <w:rPr>
                      <w:rFonts w:hint="eastAsia"/>
                      <w:color w:val="000000"/>
                      <w:sz w:val="22"/>
                      <w:szCs w:val="22"/>
                    </w:rPr>
                    <w:t>准确清晰的描述项目建设原则、总体目标、总体架构、充分围绕医院情况编制工作方案。</w:t>
                  </w:r>
                </w:p>
                <w:p>
                  <w:pPr>
                    <w:numPr>
                      <w:ilvl w:val="255"/>
                      <w:numId w:val="0"/>
                    </w:numPr>
                    <w:spacing w:after="78"/>
                    <w:ind w:left="360"/>
                    <w:rPr>
                      <w:rFonts w:ascii="宋体" w:hAnsi="宋体"/>
                    </w:rPr>
                  </w:pPr>
                  <w:r>
                    <w:rPr>
                      <w:rFonts w:hint="eastAsia"/>
                      <w:color w:val="000000"/>
                      <w:sz w:val="22"/>
                      <w:szCs w:val="22"/>
                    </w:rPr>
                    <w:t>7、配合医院安排的与设备有关临时性工作，服务期限为</w:t>
                  </w:r>
                  <w:r>
                    <w:rPr>
                      <w:color w:val="000000"/>
                      <w:sz w:val="22"/>
                      <w:szCs w:val="22"/>
                    </w:rPr>
                    <w:t>12</w:t>
                  </w:r>
                  <w:r>
                    <w:rPr>
                      <w:rFonts w:hint="eastAsia"/>
                      <w:color w:val="000000"/>
                      <w:sz w:val="22"/>
                      <w:szCs w:val="22"/>
                    </w:rPr>
                    <w:t>个月，其中2021年12月底前完成项目建议书编制工作。</w:t>
                  </w:r>
                </w:p>
              </w:tc>
            </w:tr>
          </w:tbl>
          <w:p>
            <w:pPr>
              <w:snapToGrid w:val="0"/>
              <w:spacing w:after="78"/>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技术参数</w:t>
            </w:r>
          </w:p>
        </w:tc>
        <w:tc>
          <w:tcPr>
            <w:tcW w:w="7750" w:type="dxa"/>
            <w:tcBorders>
              <w:top w:val="single" w:color="auto" w:sz="4" w:space="0"/>
              <w:left w:val="single" w:color="auto" w:sz="4" w:space="0"/>
              <w:bottom w:val="single" w:color="auto" w:sz="4" w:space="0"/>
              <w:right w:val="single" w:color="auto" w:sz="4" w:space="0"/>
            </w:tcBorders>
          </w:tcPr>
          <w:p>
            <w:pPr>
              <w:numPr>
                <w:ilvl w:val="255"/>
                <w:numId w:val="0"/>
              </w:numPr>
              <w:spacing w:after="78"/>
              <w:ind w:left="360"/>
              <w:rPr>
                <w:color w:val="000000"/>
                <w:sz w:val="22"/>
                <w:szCs w:val="22"/>
              </w:rPr>
            </w:pPr>
            <w:r>
              <w:rPr>
                <w:rFonts w:hint="eastAsia"/>
                <w:color w:val="000000"/>
                <w:sz w:val="22"/>
                <w:szCs w:val="22"/>
              </w:rPr>
              <w:t>中标人必须按深圳市发展和改革委员会的规定和要求编制本项目的项目建议书，主要内容包括（但不限于）：</w:t>
            </w:r>
          </w:p>
          <w:p>
            <w:pPr>
              <w:numPr>
                <w:ilvl w:val="255"/>
                <w:numId w:val="0"/>
              </w:numPr>
              <w:spacing w:after="78"/>
              <w:ind w:left="360"/>
              <w:rPr>
                <w:color w:val="000000"/>
                <w:sz w:val="22"/>
                <w:szCs w:val="22"/>
              </w:rPr>
            </w:pPr>
            <w:r>
              <w:rPr>
                <w:rFonts w:hint="eastAsia"/>
                <w:color w:val="000000"/>
                <w:sz w:val="22"/>
                <w:szCs w:val="22"/>
              </w:rPr>
              <w:t>1、建设项目依据、必要性及迫切性：搜集相关资料与规划，分析相关政策和环境，结合未来发展规划，明确项目建设的背景和必要性。</w:t>
            </w:r>
          </w:p>
          <w:p>
            <w:pPr>
              <w:numPr>
                <w:ilvl w:val="255"/>
                <w:numId w:val="0"/>
              </w:numPr>
              <w:spacing w:after="78"/>
              <w:ind w:left="360"/>
              <w:rPr>
                <w:color w:val="000000"/>
                <w:sz w:val="22"/>
                <w:szCs w:val="22"/>
              </w:rPr>
            </w:pPr>
            <w:r>
              <w:rPr>
                <w:rFonts w:hint="eastAsia"/>
                <w:color w:val="000000"/>
                <w:sz w:val="22"/>
                <w:szCs w:val="22"/>
              </w:rPr>
              <w:t>2、深入调研，明确高水平医院</w:t>
            </w:r>
            <w:r>
              <w:rPr>
                <w:color w:val="000000"/>
                <w:sz w:val="22"/>
                <w:szCs w:val="22"/>
              </w:rPr>
              <w:t>建设</w:t>
            </w:r>
            <w:r>
              <w:rPr>
                <w:rFonts w:hint="eastAsia"/>
                <w:color w:val="000000"/>
                <w:sz w:val="22"/>
                <w:szCs w:val="22"/>
              </w:rPr>
              <w:t>医疗设备购置的需求：对我医院规划进行全面深入调研（包括市、省内医院、</w:t>
            </w:r>
            <w:r>
              <w:rPr>
                <w:color w:val="000000"/>
                <w:sz w:val="22"/>
                <w:szCs w:val="22"/>
              </w:rPr>
              <w:t>国内</w:t>
            </w:r>
            <w:r>
              <w:rPr>
                <w:rFonts w:hint="eastAsia"/>
                <w:color w:val="000000"/>
                <w:sz w:val="22"/>
                <w:szCs w:val="22"/>
              </w:rPr>
              <w:t>同行儿童</w:t>
            </w:r>
            <w:r>
              <w:rPr>
                <w:color w:val="000000"/>
                <w:sz w:val="22"/>
                <w:szCs w:val="22"/>
              </w:rPr>
              <w:t>专科</w:t>
            </w:r>
            <w:r>
              <w:rPr>
                <w:rFonts w:hint="eastAsia"/>
                <w:color w:val="000000"/>
                <w:sz w:val="22"/>
                <w:szCs w:val="22"/>
              </w:rPr>
              <w:t>医院），充分掌握其医用设备配置现状，发掘其存在的问题</w:t>
            </w:r>
            <w:bookmarkStart w:id="20" w:name="_GoBack"/>
            <w:bookmarkEnd w:id="20"/>
            <w:r>
              <w:rPr>
                <w:rFonts w:hint="eastAsia"/>
                <w:color w:val="000000"/>
                <w:sz w:val="22"/>
                <w:szCs w:val="22"/>
              </w:rPr>
              <w:t>和潜在需求，明确其对设备的功能、规模、服务等各方面的需求。</w:t>
            </w:r>
          </w:p>
          <w:p>
            <w:pPr>
              <w:numPr>
                <w:ilvl w:val="255"/>
                <w:numId w:val="0"/>
              </w:numPr>
              <w:spacing w:after="78"/>
              <w:ind w:left="360"/>
              <w:rPr>
                <w:color w:val="000000"/>
                <w:sz w:val="22"/>
                <w:szCs w:val="22"/>
              </w:rPr>
            </w:pPr>
            <w:r>
              <w:rPr>
                <w:rFonts w:hint="eastAsia"/>
                <w:color w:val="000000"/>
                <w:sz w:val="22"/>
                <w:szCs w:val="22"/>
              </w:rPr>
              <w:t>3、按照医院的需求，合理科学确定项目的发展目标和定位，配置内容和规模。</w:t>
            </w:r>
          </w:p>
          <w:p>
            <w:pPr>
              <w:numPr>
                <w:ilvl w:val="255"/>
                <w:numId w:val="0"/>
              </w:numPr>
              <w:spacing w:after="78"/>
              <w:ind w:left="360"/>
              <w:rPr>
                <w:color w:val="000000"/>
                <w:sz w:val="22"/>
                <w:szCs w:val="22"/>
              </w:rPr>
            </w:pPr>
            <w:r>
              <w:rPr>
                <w:rFonts w:hint="eastAsia"/>
                <w:color w:val="000000"/>
                <w:sz w:val="22"/>
                <w:szCs w:val="22"/>
              </w:rPr>
              <w:t>4、对项目进行技术方案论证和研究，并提出合理化建议</w:t>
            </w:r>
          </w:p>
          <w:p>
            <w:pPr>
              <w:numPr>
                <w:ilvl w:val="255"/>
                <w:numId w:val="0"/>
              </w:numPr>
              <w:spacing w:after="78"/>
              <w:ind w:left="360"/>
              <w:rPr>
                <w:color w:val="000000"/>
                <w:sz w:val="22"/>
                <w:szCs w:val="22"/>
              </w:rPr>
            </w:pPr>
            <w:r>
              <w:rPr>
                <w:rFonts w:hint="eastAsia"/>
                <w:color w:val="000000"/>
                <w:sz w:val="22"/>
                <w:szCs w:val="22"/>
              </w:rPr>
              <w:t>根据调研的需求和确定的建设目标，建设内容和规模，结合对方案的全面性、合理性、先进性、可实施性进行分析论证，确定最终的项目建议书编写方案</w:t>
            </w:r>
          </w:p>
          <w:p>
            <w:pPr>
              <w:numPr>
                <w:ilvl w:val="255"/>
                <w:numId w:val="0"/>
              </w:numPr>
              <w:spacing w:after="78"/>
              <w:ind w:left="360"/>
              <w:rPr>
                <w:color w:val="000000"/>
                <w:sz w:val="22"/>
                <w:szCs w:val="22"/>
              </w:rPr>
            </w:pPr>
            <w:r>
              <w:rPr>
                <w:rFonts w:hint="eastAsia"/>
                <w:color w:val="000000"/>
                <w:sz w:val="22"/>
                <w:szCs w:val="22"/>
              </w:rPr>
              <w:t>5、合理确定项目投资概算，确定项目资金筹措和运用方案</w:t>
            </w:r>
          </w:p>
          <w:p>
            <w:pPr>
              <w:numPr>
                <w:ilvl w:val="255"/>
                <w:numId w:val="0"/>
              </w:numPr>
              <w:spacing w:after="78"/>
              <w:ind w:left="360"/>
              <w:rPr>
                <w:color w:val="000000"/>
                <w:sz w:val="22"/>
                <w:szCs w:val="22"/>
              </w:rPr>
            </w:pPr>
            <w:r>
              <w:rPr>
                <w:rFonts w:hint="eastAsia"/>
                <w:color w:val="000000"/>
                <w:sz w:val="22"/>
                <w:szCs w:val="22"/>
              </w:rPr>
              <w:t>6、制定模板，收集各科室设备清单、进行整理、确认</w:t>
            </w:r>
          </w:p>
          <w:p>
            <w:pPr>
              <w:numPr>
                <w:ilvl w:val="255"/>
                <w:numId w:val="0"/>
              </w:numPr>
              <w:spacing w:after="78"/>
              <w:ind w:left="360" w:firstLine="660" w:firstLineChars="300"/>
              <w:rPr>
                <w:sz w:val="22"/>
                <w:szCs w:val="22"/>
              </w:rPr>
            </w:pPr>
            <w:r>
              <w:rPr>
                <w:rFonts w:hint="eastAsia"/>
                <w:color w:val="000000"/>
                <w:sz w:val="22"/>
                <w:szCs w:val="22"/>
              </w:rPr>
              <w:t>模板的内容要包括设备名称、数量、单价、总额、是否</w:t>
            </w:r>
            <w:r>
              <w:rPr>
                <w:color w:val="000000"/>
                <w:sz w:val="22"/>
                <w:szCs w:val="22"/>
              </w:rPr>
              <w:t>进口、</w:t>
            </w:r>
            <w:r>
              <w:rPr>
                <w:rFonts w:hint="eastAsia"/>
                <w:color w:val="000000"/>
                <w:sz w:val="22"/>
                <w:szCs w:val="22"/>
              </w:rPr>
              <w:t>主要配置、保修年限、申请科室。按财委采购进口设备申请的模板，协调、引导各科室填报进口设备论证表；组织专家评审会进行进口设备论证，并承担专家论证费用；</w:t>
            </w:r>
          </w:p>
        </w:tc>
      </w:tr>
    </w:tbl>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2021-002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after="78"/>
        <w:jc w:val="center"/>
        <w:outlineLvl w:val="0"/>
        <w:rPr>
          <w:rFonts w:ascii="宋体" w:hAnsi="宋体"/>
          <w:color w:val="000000"/>
          <w:sz w:val="40"/>
          <w:szCs w:val="40"/>
        </w:rPr>
      </w:pPr>
      <w:r>
        <w:rPr>
          <w:rFonts w:hint="eastAsia" w:eastAsia="黑体"/>
          <w:color w:val="000000"/>
          <w:sz w:val="30"/>
          <w:szCs w:val="30"/>
        </w:rPr>
        <w:t>报价表</w:t>
      </w:r>
      <w:r>
        <w:rPr>
          <w:rFonts w:eastAsia="黑体"/>
          <w:color w:val="000000"/>
          <w:sz w:val="30"/>
          <w:szCs w:val="30"/>
        </w:rPr>
        <w:t>格式</w:t>
      </w:r>
      <w:r>
        <w:rPr>
          <w:rFonts w:hint="eastAsia" w:ascii="宋体" w:hAnsi="宋体"/>
          <w:color w:val="000000"/>
          <w:sz w:val="40"/>
          <w:szCs w:val="40"/>
        </w:rPr>
        <w:t>：</w:t>
      </w:r>
    </w:p>
    <w:tbl>
      <w:tblPr>
        <w:tblStyle w:val="15"/>
        <w:tblW w:w="11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012"/>
        <w:gridCol w:w="2976"/>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1" w:type="dxa"/>
            <w:vAlign w:val="center"/>
          </w:tcPr>
          <w:p>
            <w:pPr>
              <w:spacing w:line="360" w:lineRule="auto"/>
              <w:rPr>
                <w:color w:val="000000"/>
                <w:szCs w:val="21"/>
              </w:rPr>
            </w:pPr>
            <w:r>
              <w:rPr>
                <w:rFonts w:hint="eastAsia"/>
                <w:color w:val="000000"/>
                <w:szCs w:val="21"/>
              </w:rPr>
              <w:t>序号</w:t>
            </w:r>
          </w:p>
        </w:tc>
        <w:tc>
          <w:tcPr>
            <w:tcW w:w="4012" w:type="dxa"/>
            <w:vAlign w:val="center"/>
          </w:tcPr>
          <w:p>
            <w:pPr>
              <w:spacing w:line="360" w:lineRule="auto"/>
              <w:rPr>
                <w:color w:val="000000"/>
                <w:szCs w:val="21"/>
              </w:rPr>
            </w:pPr>
            <w:r>
              <w:rPr>
                <w:rFonts w:hint="eastAsia"/>
                <w:color w:val="000000"/>
                <w:szCs w:val="21"/>
              </w:rPr>
              <w:t>预计项目</w:t>
            </w:r>
            <w:r>
              <w:rPr>
                <w:color w:val="000000"/>
                <w:szCs w:val="21"/>
              </w:rPr>
              <w:t>名称</w:t>
            </w:r>
          </w:p>
        </w:tc>
        <w:tc>
          <w:tcPr>
            <w:tcW w:w="2976" w:type="dxa"/>
            <w:vAlign w:val="center"/>
          </w:tcPr>
          <w:p>
            <w:pPr>
              <w:spacing w:line="360" w:lineRule="auto"/>
              <w:rPr>
                <w:color w:val="000000"/>
                <w:szCs w:val="21"/>
              </w:rPr>
            </w:pPr>
            <w:r>
              <w:rPr>
                <w:rFonts w:hint="eastAsia"/>
                <w:color w:val="000000"/>
                <w:szCs w:val="21"/>
              </w:rPr>
              <w:t>价格</w:t>
            </w:r>
          </w:p>
        </w:tc>
        <w:tc>
          <w:tcPr>
            <w:tcW w:w="3167" w:type="dxa"/>
            <w:vAlign w:val="center"/>
          </w:tcPr>
          <w:p>
            <w:pPr>
              <w:spacing w:line="360" w:lineRule="auto"/>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1" w:type="dxa"/>
          </w:tcPr>
          <w:p>
            <w:pPr>
              <w:spacing w:line="360" w:lineRule="auto"/>
              <w:rPr>
                <w:color w:val="000000"/>
                <w:szCs w:val="21"/>
              </w:rPr>
            </w:pPr>
          </w:p>
        </w:tc>
        <w:tc>
          <w:tcPr>
            <w:tcW w:w="4012" w:type="dxa"/>
          </w:tcPr>
          <w:p>
            <w:pPr>
              <w:spacing w:line="360" w:lineRule="auto"/>
              <w:rPr>
                <w:color w:val="000000"/>
                <w:szCs w:val="21"/>
              </w:rPr>
            </w:pPr>
          </w:p>
        </w:tc>
        <w:tc>
          <w:tcPr>
            <w:tcW w:w="2976" w:type="dxa"/>
          </w:tcPr>
          <w:p>
            <w:pPr>
              <w:spacing w:line="360" w:lineRule="auto"/>
              <w:rPr>
                <w:color w:val="000000"/>
                <w:szCs w:val="21"/>
              </w:rPr>
            </w:pPr>
          </w:p>
        </w:tc>
        <w:tc>
          <w:tcPr>
            <w:tcW w:w="3167" w:type="dxa"/>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1" w:type="dxa"/>
          </w:tcPr>
          <w:p>
            <w:pPr>
              <w:spacing w:line="360" w:lineRule="auto"/>
              <w:rPr>
                <w:color w:val="000000"/>
                <w:szCs w:val="21"/>
              </w:rPr>
            </w:pPr>
          </w:p>
        </w:tc>
        <w:tc>
          <w:tcPr>
            <w:tcW w:w="4012" w:type="dxa"/>
          </w:tcPr>
          <w:p>
            <w:pPr>
              <w:spacing w:line="360" w:lineRule="auto"/>
              <w:rPr>
                <w:color w:val="000000"/>
                <w:szCs w:val="21"/>
              </w:rPr>
            </w:pPr>
          </w:p>
        </w:tc>
        <w:tc>
          <w:tcPr>
            <w:tcW w:w="2976" w:type="dxa"/>
          </w:tcPr>
          <w:p>
            <w:pPr>
              <w:spacing w:line="360" w:lineRule="auto"/>
              <w:rPr>
                <w:color w:val="000000"/>
                <w:szCs w:val="21"/>
              </w:rPr>
            </w:pPr>
          </w:p>
        </w:tc>
        <w:tc>
          <w:tcPr>
            <w:tcW w:w="3167" w:type="dxa"/>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1" w:type="dxa"/>
          </w:tcPr>
          <w:p>
            <w:pPr>
              <w:spacing w:line="360" w:lineRule="auto"/>
              <w:rPr>
                <w:color w:val="000000"/>
                <w:szCs w:val="21"/>
              </w:rPr>
            </w:pPr>
          </w:p>
        </w:tc>
        <w:tc>
          <w:tcPr>
            <w:tcW w:w="4012" w:type="dxa"/>
          </w:tcPr>
          <w:p>
            <w:pPr>
              <w:spacing w:line="360" w:lineRule="auto"/>
              <w:rPr>
                <w:color w:val="000000"/>
                <w:szCs w:val="21"/>
              </w:rPr>
            </w:pPr>
          </w:p>
        </w:tc>
        <w:tc>
          <w:tcPr>
            <w:tcW w:w="2976" w:type="dxa"/>
          </w:tcPr>
          <w:p>
            <w:pPr>
              <w:spacing w:line="360" w:lineRule="auto"/>
              <w:rPr>
                <w:color w:val="000000"/>
                <w:szCs w:val="21"/>
              </w:rPr>
            </w:pPr>
          </w:p>
        </w:tc>
        <w:tc>
          <w:tcPr>
            <w:tcW w:w="3167" w:type="dxa"/>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1" w:type="dxa"/>
          </w:tcPr>
          <w:p>
            <w:pPr>
              <w:spacing w:line="360" w:lineRule="auto"/>
              <w:rPr>
                <w:color w:val="000000"/>
                <w:szCs w:val="21"/>
              </w:rPr>
            </w:pPr>
          </w:p>
        </w:tc>
        <w:tc>
          <w:tcPr>
            <w:tcW w:w="4012" w:type="dxa"/>
          </w:tcPr>
          <w:p>
            <w:pPr>
              <w:spacing w:line="360" w:lineRule="auto"/>
              <w:rPr>
                <w:color w:val="000000"/>
                <w:szCs w:val="21"/>
              </w:rPr>
            </w:pPr>
          </w:p>
        </w:tc>
        <w:tc>
          <w:tcPr>
            <w:tcW w:w="2976" w:type="dxa"/>
          </w:tcPr>
          <w:p>
            <w:pPr>
              <w:spacing w:line="360" w:lineRule="auto"/>
              <w:rPr>
                <w:color w:val="000000"/>
                <w:szCs w:val="21"/>
              </w:rPr>
            </w:pPr>
          </w:p>
        </w:tc>
        <w:tc>
          <w:tcPr>
            <w:tcW w:w="3167" w:type="dxa"/>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1" w:type="dxa"/>
          </w:tcPr>
          <w:p>
            <w:pPr>
              <w:spacing w:line="360" w:lineRule="auto"/>
              <w:rPr>
                <w:color w:val="000000"/>
                <w:szCs w:val="21"/>
              </w:rPr>
            </w:pPr>
          </w:p>
        </w:tc>
        <w:tc>
          <w:tcPr>
            <w:tcW w:w="4012" w:type="dxa"/>
          </w:tcPr>
          <w:p>
            <w:pPr>
              <w:spacing w:line="360" w:lineRule="auto"/>
              <w:rPr>
                <w:color w:val="000000"/>
                <w:szCs w:val="21"/>
              </w:rPr>
            </w:pPr>
          </w:p>
        </w:tc>
        <w:tc>
          <w:tcPr>
            <w:tcW w:w="2976" w:type="dxa"/>
          </w:tcPr>
          <w:p>
            <w:pPr>
              <w:spacing w:line="360" w:lineRule="auto"/>
              <w:rPr>
                <w:color w:val="000000"/>
                <w:szCs w:val="21"/>
              </w:rPr>
            </w:pPr>
          </w:p>
        </w:tc>
        <w:tc>
          <w:tcPr>
            <w:tcW w:w="3167" w:type="dxa"/>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1" w:type="dxa"/>
          </w:tcPr>
          <w:p>
            <w:pPr>
              <w:spacing w:line="360" w:lineRule="auto"/>
              <w:rPr>
                <w:color w:val="000000"/>
                <w:szCs w:val="21"/>
              </w:rPr>
            </w:pPr>
          </w:p>
        </w:tc>
        <w:tc>
          <w:tcPr>
            <w:tcW w:w="4012" w:type="dxa"/>
          </w:tcPr>
          <w:p>
            <w:pPr>
              <w:spacing w:line="360" w:lineRule="auto"/>
              <w:rPr>
                <w:color w:val="000000"/>
                <w:szCs w:val="21"/>
              </w:rPr>
            </w:pPr>
          </w:p>
        </w:tc>
        <w:tc>
          <w:tcPr>
            <w:tcW w:w="2976" w:type="dxa"/>
          </w:tcPr>
          <w:p>
            <w:pPr>
              <w:spacing w:line="360" w:lineRule="auto"/>
              <w:rPr>
                <w:color w:val="000000"/>
                <w:szCs w:val="21"/>
              </w:rPr>
            </w:pPr>
          </w:p>
        </w:tc>
        <w:tc>
          <w:tcPr>
            <w:tcW w:w="3167" w:type="dxa"/>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116" w:type="dxa"/>
            <w:gridSpan w:val="4"/>
            <w:vAlign w:val="center"/>
          </w:tcPr>
          <w:p>
            <w:pPr>
              <w:spacing w:line="360" w:lineRule="auto"/>
              <w:rPr>
                <w:color w:val="000000"/>
                <w:szCs w:val="21"/>
              </w:rPr>
            </w:pPr>
          </w:p>
        </w:tc>
      </w:tr>
    </w:tbl>
    <w:p>
      <w:pPr>
        <w:spacing w:line="360" w:lineRule="auto"/>
        <w:rPr>
          <w:color w:val="000000"/>
          <w:szCs w:val="21"/>
        </w:rPr>
      </w:pPr>
    </w:p>
    <w:p>
      <w:pPr>
        <w:spacing w:after="78"/>
        <w:ind w:left="105" w:leftChars="50"/>
        <w:jc w:val="left"/>
        <w:outlineLvl w:val="0"/>
        <w:rPr>
          <w:color w:val="000000"/>
          <w:szCs w:val="21"/>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p>
    <w:p>
      <w:pPr>
        <w:spacing w:after="78"/>
        <w:ind w:left="105" w:leftChars="50"/>
        <w:jc w:val="left"/>
        <w:outlineLvl w:val="0"/>
        <w:rPr>
          <w:color w:val="000000"/>
          <w:szCs w:val="21"/>
        </w:rPr>
      </w:pPr>
    </w:p>
    <w:p>
      <w:pPr>
        <w:spacing w:after="78"/>
        <w:ind w:left="105" w:leftChars="50"/>
        <w:jc w:val="left"/>
        <w:outlineLvl w:val="0"/>
        <w:rPr>
          <w:color w:val="000000"/>
          <w:szCs w:val="21"/>
        </w:rPr>
      </w:pPr>
    </w:p>
    <w:p>
      <w:pPr>
        <w:spacing w:after="78"/>
        <w:ind w:left="105" w:leftChars="50"/>
        <w:jc w:val="left"/>
        <w:outlineLvl w:val="0"/>
        <w:rPr>
          <w:rFonts w:ascii="宋体" w:hAnsi="宋体"/>
          <w:color w:val="000000"/>
          <w:sz w:val="40"/>
          <w:szCs w:val="40"/>
        </w:rPr>
      </w:pPr>
      <w:r>
        <w:rPr>
          <w:color w:val="000000"/>
          <w:szCs w:val="21"/>
        </w:rPr>
        <w:t>单位盖章：</w:t>
      </w:r>
      <w:r>
        <w:rPr>
          <w:color w:val="000000"/>
          <w:szCs w:val="21"/>
          <w:u w:val="single"/>
        </w:rPr>
        <w:t xml:space="preserve">              </w:t>
      </w:r>
    </w:p>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1074904"/>
      <w:bookmarkStart w:id="8" w:name="_Toc100052474"/>
      <w:bookmarkStart w:id="9" w:name="_Toc73521619"/>
      <w:bookmarkStart w:id="10" w:name="_Toc73521707"/>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1074905"/>
      <w:bookmarkStart w:id="12" w:name="_Toc100052475"/>
      <w:bookmarkStart w:id="13" w:name="_Toc73521708"/>
      <w:bookmarkStart w:id="14" w:name="_Toc73521620"/>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3116"/>
      <w:bookmarkStart w:id="16" w:name="_Toc201997946"/>
      <w:bookmarkStart w:id="17" w:name="_Toc201742861"/>
      <w:bookmarkStart w:id="18" w:name="_Toc201719118"/>
      <w:bookmarkStart w:id="19"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5</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8278" w:y="-31"/>
      <w:rPr>
        <w:rStyle w:val="19"/>
      </w:rPr>
    </w:pPr>
    <w:r>
      <w:fldChar w:fldCharType="begin"/>
    </w:r>
    <w:r>
      <w:rPr>
        <w:rStyle w:val="19"/>
      </w:rPr>
      <w:instrText xml:space="preserve">PAGE  </w:instrText>
    </w:r>
    <w:r>
      <w:fldChar w:fldCharType="separate"/>
    </w:r>
    <w:r>
      <w:rPr>
        <w:rStyle w:val="19"/>
      </w:rPr>
      <w:t>15</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2"/>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3OWU1MzY1OTQ5OTJmMDNkZTgyMmQxZGM1NzFkMjQ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493"/>
    <w:rsid w:val="0028588B"/>
    <w:rsid w:val="00285ED3"/>
    <w:rsid w:val="002864A0"/>
    <w:rsid w:val="0029076B"/>
    <w:rsid w:val="002924B9"/>
    <w:rsid w:val="00292A4E"/>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6EC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44AA"/>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4243"/>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1FEF"/>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39F3"/>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217F"/>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721"/>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0B9"/>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25B6"/>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740B8"/>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35F118F"/>
    <w:rsid w:val="036C2938"/>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EBA753A"/>
    <w:rsid w:val="0FDB5BF8"/>
    <w:rsid w:val="0FF0756D"/>
    <w:rsid w:val="10BB60F9"/>
    <w:rsid w:val="10CB03AE"/>
    <w:rsid w:val="110A33B6"/>
    <w:rsid w:val="11EC5E17"/>
    <w:rsid w:val="121432F4"/>
    <w:rsid w:val="125C0D4E"/>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7B4CFD"/>
    <w:rsid w:val="28752B19"/>
    <w:rsid w:val="2876124D"/>
    <w:rsid w:val="28AA01F1"/>
    <w:rsid w:val="29BD6A16"/>
    <w:rsid w:val="2A377783"/>
    <w:rsid w:val="2A6266E9"/>
    <w:rsid w:val="2A662F4E"/>
    <w:rsid w:val="2A6C54A9"/>
    <w:rsid w:val="2D21664A"/>
    <w:rsid w:val="2D6900FF"/>
    <w:rsid w:val="2F34651F"/>
    <w:rsid w:val="2F425E94"/>
    <w:rsid w:val="2FB81F38"/>
    <w:rsid w:val="2FFE2912"/>
    <w:rsid w:val="30BC2EBC"/>
    <w:rsid w:val="31FF72AF"/>
    <w:rsid w:val="32781A64"/>
    <w:rsid w:val="32782FFB"/>
    <w:rsid w:val="32B86F81"/>
    <w:rsid w:val="33CC15C4"/>
    <w:rsid w:val="33CE26DF"/>
    <w:rsid w:val="33FA3136"/>
    <w:rsid w:val="347C06A8"/>
    <w:rsid w:val="353577A9"/>
    <w:rsid w:val="357B0EFD"/>
    <w:rsid w:val="35CA2DB9"/>
    <w:rsid w:val="35F41D4F"/>
    <w:rsid w:val="361E7E3B"/>
    <w:rsid w:val="3621266D"/>
    <w:rsid w:val="36974B68"/>
    <w:rsid w:val="375C2773"/>
    <w:rsid w:val="384C47A3"/>
    <w:rsid w:val="39031BEB"/>
    <w:rsid w:val="39072F88"/>
    <w:rsid w:val="391C7C77"/>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D22CA7"/>
    <w:rsid w:val="4DE74B53"/>
    <w:rsid w:val="4E873EC5"/>
    <w:rsid w:val="4F0F2B66"/>
    <w:rsid w:val="4F296C73"/>
    <w:rsid w:val="4F747F89"/>
    <w:rsid w:val="4FDA7553"/>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954957"/>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9954F2"/>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qFormat/>
    <w:uiPriority w:val="0"/>
    <w:pPr>
      <w:spacing w:before="240" w:after="240"/>
      <w:outlineLvl w:val="2"/>
    </w:pPr>
    <w:rPr>
      <w:b/>
      <w:sz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sz w:val="24"/>
    </w:rPr>
  </w:style>
  <w:style w:type="paragraph" w:styleId="6">
    <w:name w:val="Body Text"/>
    <w:basedOn w:val="1"/>
    <w:autoRedefine/>
    <w:qFormat/>
    <w:uiPriority w:val="0"/>
    <w:pPr>
      <w:spacing w:after="120"/>
    </w:pPr>
    <w:rPr>
      <w:kern w:val="0"/>
      <w:sz w:val="20"/>
    </w:rPr>
  </w:style>
  <w:style w:type="paragraph" w:styleId="7">
    <w:name w:val="Body Text Indent"/>
    <w:basedOn w:val="1"/>
    <w:autoRedefine/>
    <w:qFormat/>
    <w:uiPriority w:val="0"/>
    <w:pPr>
      <w:spacing w:line="360" w:lineRule="auto"/>
      <w:ind w:left="720" w:hanging="720" w:hangingChars="300"/>
    </w:pPr>
    <w:rPr>
      <w:sz w:val="24"/>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style>
  <w:style w:type="paragraph" w:styleId="10">
    <w:name w:val="Body Text Indent 2"/>
    <w:basedOn w:val="1"/>
    <w:autoRedefine/>
    <w:qFormat/>
    <w:uiPriority w:val="0"/>
    <w:pPr>
      <w:spacing w:line="360" w:lineRule="auto"/>
      <w:ind w:left="502" w:hanging="502" w:hangingChars="276"/>
    </w:pPr>
    <w:rPr>
      <w:rFonts w:ascii="仿宋_GB2312"/>
      <w:kern w:val="0"/>
      <w:sz w:val="20"/>
    </w:rPr>
  </w:style>
  <w:style w:type="paragraph" w:styleId="11">
    <w:name w:val="Balloon Text"/>
    <w:basedOn w:val="1"/>
    <w:link w:val="42"/>
    <w:autoRedefine/>
    <w:qFormat/>
    <w:uiPriority w:val="0"/>
    <w:rPr>
      <w:sz w:val="18"/>
      <w:szCs w:val="18"/>
    </w:rPr>
  </w:style>
  <w:style w:type="paragraph" w:styleId="12">
    <w:name w:val="footer"/>
    <w:basedOn w:val="1"/>
    <w:link w:val="26"/>
    <w:autoRedefine/>
    <w:qFormat/>
    <w:uiPriority w:val="99"/>
    <w:pPr>
      <w:tabs>
        <w:tab w:val="center" w:pos="4153"/>
        <w:tab w:val="right" w:pos="8306"/>
      </w:tabs>
      <w:snapToGrid w:val="0"/>
      <w:jc w:val="left"/>
    </w:pPr>
    <w:rPr>
      <w:sz w:val="18"/>
      <w:szCs w:val="18"/>
    </w:rPr>
  </w:style>
  <w:style w:type="paragraph" w:styleId="13">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kern w:val="0"/>
      <w:sz w:val="24"/>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autoRedefine/>
    <w:qFormat/>
    <w:uiPriority w:val="22"/>
    <w:rPr>
      <w:b/>
      <w:bCs/>
    </w:rPr>
  </w:style>
  <w:style w:type="character" w:styleId="19">
    <w:name w:val="page number"/>
    <w:basedOn w:val="17"/>
    <w:semiHidden/>
    <w:qFormat/>
    <w:uiPriority w:val="0"/>
  </w:style>
  <w:style w:type="character" w:styleId="20">
    <w:name w:val="Hyperlink"/>
    <w:basedOn w:val="17"/>
    <w:autoRedefine/>
    <w:qFormat/>
    <w:uiPriority w:val="0"/>
    <w:rPr>
      <w:color w:val="0000FF"/>
      <w:u w:val="single"/>
    </w:rPr>
  </w:style>
  <w:style w:type="character" w:customStyle="1" w:styleId="21">
    <w:name w:val="标题 3 字符"/>
    <w:basedOn w:val="17"/>
    <w:link w:val="5"/>
    <w:qFormat/>
    <w:uiPriority w:val="0"/>
    <w:rPr>
      <w:b/>
      <w:kern w:val="2"/>
      <w:sz w:val="24"/>
    </w:rPr>
  </w:style>
  <w:style w:type="character" w:customStyle="1" w:styleId="22">
    <w:name w:val="纯文本 字符"/>
    <w:basedOn w:val="17"/>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字符"/>
    <w:basedOn w:val="17"/>
    <w:link w:val="13"/>
    <w:autoRedefine/>
    <w:qFormat/>
    <w:uiPriority w:val="0"/>
    <w:rPr>
      <w:kern w:val="2"/>
      <w:sz w:val="18"/>
      <w:szCs w:val="18"/>
    </w:rPr>
  </w:style>
  <w:style w:type="character" w:customStyle="1" w:styleId="26">
    <w:name w:val="页脚 字符"/>
    <w:basedOn w:val="17"/>
    <w:link w:val="12"/>
    <w:qFormat/>
    <w:uiPriority w:val="99"/>
    <w:rPr>
      <w:kern w:val="2"/>
      <w:sz w:val="18"/>
      <w:szCs w:val="18"/>
    </w:rPr>
  </w:style>
  <w:style w:type="character" w:customStyle="1" w:styleId="27">
    <w:name w:val="标题 2 字符"/>
    <w:basedOn w:val="17"/>
    <w:link w:val="4"/>
    <w:semiHidden/>
    <w:qFormat/>
    <w:uiPriority w:val="0"/>
    <w:rPr>
      <w:rFonts w:asciiTheme="majorHAnsi" w:hAnsiTheme="majorHAnsi" w:eastAsiaTheme="majorEastAsia" w:cstheme="majorBidi"/>
      <w:b/>
      <w:bCs/>
      <w:kern w:val="2"/>
      <w:sz w:val="32"/>
      <w:szCs w:val="32"/>
    </w:rPr>
  </w:style>
  <w:style w:type="paragraph" w:customStyle="1" w:styleId="28">
    <w:name w:val="列表段落1"/>
    <w:basedOn w:val="1"/>
    <w:autoRedefine/>
    <w:qFormat/>
    <w:uiPriority w:val="34"/>
    <w:pPr>
      <w:ind w:firstLine="420" w:firstLineChars="200"/>
    </w:pPr>
    <w:rPr>
      <w:rFonts w:ascii="Calibri" w:hAnsi="Calibri"/>
      <w:szCs w:val="22"/>
    </w:rPr>
  </w:style>
  <w:style w:type="character" w:customStyle="1" w:styleId="29">
    <w:name w:val="标题 1 字符"/>
    <w:basedOn w:val="17"/>
    <w:link w:val="3"/>
    <w:autoRedefine/>
    <w:qFormat/>
    <w:uiPriority w:val="0"/>
    <w:rPr>
      <w:b/>
      <w:bCs/>
      <w:kern w:val="44"/>
      <w:sz w:val="44"/>
      <w:szCs w:val="44"/>
    </w:rPr>
  </w:style>
  <w:style w:type="paragraph" w:customStyle="1" w:styleId="30">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7"/>
    <w:autoRedefine/>
    <w:qFormat/>
    <w:uiPriority w:val="0"/>
    <w:rPr>
      <w:rFonts w:hint="eastAsia" w:ascii="宋体" w:hAnsi="宋体" w:eastAsia="宋体" w:cs="Times New Roman"/>
      <w:color w:val="000000"/>
      <w:sz w:val="20"/>
      <w:szCs w:val="20"/>
      <w:u w:val="none"/>
    </w:rPr>
  </w:style>
  <w:style w:type="character" w:customStyle="1" w:styleId="40">
    <w:name w:val="font21"/>
    <w:basedOn w:val="17"/>
    <w:autoRedefine/>
    <w:qFormat/>
    <w:uiPriority w:val="0"/>
    <w:rPr>
      <w:rFonts w:hint="eastAsia" w:ascii="宋体" w:hAnsi="宋体" w:eastAsia="宋体" w:cs="宋体"/>
      <w:color w:val="000000"/>
      <w:sz w:val="18"/>
      <w:szCs w:val="18"/>
      <w:u w:val="none"/>
    </w:rPr>
  </w:style>
  <w:style w:type="paragraph" w:customStyle="1" w:styleId="4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2">
    <w:name w:val="批注框文本 字符"/>
    <w:basedOn w:val="17"/>
    <w:link w:val="11"/>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253453-DD12-4B36-AFFA-2B9A0285FD3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967</Words>
  <Characters>5518</Characters>
  <Lines>45</Lines>
  <Paragraphs>12</Paragraphs>
  <TotalTime>1</TotalTime>
  <ScaleCrop>false</ScaleCrop>
  <LinksUpToDate>false</LinksUpToDate>
  <CharactersWithSpaces>6473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2021-03-17T00:41:00Z</dcterms:created>
  <dc:creator>User</dc:creator>
  <cp:lastModifiedBy>小陈</cp:lastModifiedBy>
  <cp:lastPrinted>2021-10-11T07:14:00Z</cp:lastPrinted>
  <dcterms:modified xsi:type="dcterms:W3CDTF">2023-12-21T10:00:40Z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BACF5FFC846C47C79FF2A4EFBE728419_13</vt:lpwstr>
  </property>
</Properties>
</file>