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ascii="宋体" w:hAnsi="宋体"/>
          <w:bCs/>
          <w:color w:val="000000"/>
          <w:sz w:val="20"/>
        </w:rPr>
      </w:pPr>
      <w:r>
        <w:rPr>
          <w:rFonts w:hint="eastAsia" w:ascii="宋体" w:hAnsi="宋体"/>
          <w:color w:val="000000"/>
          <w:sz w:val="20"/>
        </w:rPr>
        <w:t xml:space="preserve">1.  </w:t>
      </w:r>
      <w:r>
        <w:rPr>
          <w:rFonts w:hint="eastAsia" w:ascii="宋体" w:hAnsi="宋体"/>
          <w:bCs/>
          <w:color w:val="000000"/>
          <w:sz w:val="20"/>
        </w:rPr>
        <w:t>评分表</w:t>
      </w:r>
    </w:p>
    <w:p>
      <w:pPr>
        <w:snapToGrid w:val="0"/>
        <w:ind w:right="-315" w:rightChars="-150" w:firstLine="400" w:firstLineChars="200"/>
        <w:rPr>
          <w:rFonts w:ascii="宋体" w:hAnsi="宋体"/>
          <w:sz w:val="20"/>
        </w:rPr>
      </w:pPr>
      <w:r>
        <w:rPr>
          <w:rFonts w:hint="eastAsia" w:ascii="宋体" w:hAnsi="宋体"/>
          <w:sz w:val="20"/>
        </w:rPr>
        <w:t>价格分计算：价格分=（评标基准价/投标报价）×价格权重分。（每个供应商可进行两次报价，以第二次报价为最终报价），当价格分&lt;0时，取0。</w:t>
      </w:r>
    </w:p>
    <w:tbl>
      <w:tblPr>
        <w:tblStyle w:val="1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2453"/>
        <w:gridCol w:w="650"/>
        <w:gridCol w:w="111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pPr>
              <w:spacing w:line="276" w:lineRule="auto"/>
              <w:jc w:val="center"/>
              <w:rPr>
                <w:rFonts w:ascii="宋体" w:hAnsi="宋体"/>
                <w:b/>
                <w:sz w:val="20"/>
                <w:szCs w:val="18"/>
              </w:rPr>
            </w:pPr>
            <w:r>
              <w:rPr>
                <w:rFonts w:hint="eastAsia" w:ascii="宋体" w:hAnsi="宋体"/>
                <w:b/>
                <w:sz w:val="20"/>
                <w:szCs w:val="18"/>
              </w:rPr>
              <w:t>序号</w:t>
            </w:r>
          </w:p>
        </w:tc>
        <w:tc>
          <w:tcPr>
            <w:tcW w:w="3804" w:type="dxa"/>
            <w:gridSpan w:val="3"/>
            <w:shd w:val="clear" w:color="auto" w:fill="DBE5F1"/>
            <w:vAlign w:val="center"/>
          </w:tcPr>
          <w:p>
            <w:pPr>
              <w:spacing w:line="276" w:lineRule="auto"/>
              <w:jc w:val="center"/>
              <w:rPr>
                <w:rFonts w:ascii="宋体" w:hAnsi="宋体"/>
                <w:b/>
                <w:sz w:val="20"/>
                <w:szCs w:val="18"/>
              </w:rPr>
            </w:pPr>
            <w:r>
              <w:rPr>
                <w:rFonts w:ascii="宋体" w:hAnsi="宋体"/>
                <w:b/>
                <w:sz w:val="20"/>
                <w:szCs w:val="18"/>
              </w:rPr>
              <w:t>评分项</w:t>
            </w:r>
          </w:p>
        </w:tc>
        <w:tc>
          <w:tcPr>
            <w:tcW w:w="4710" w:type="dxa"/>
            <w:gridSpan w:val="2"/>
            <w:shd w:val="clear" w:color="auto" w:fill="DBE5F1"/>
            <w:vAlign w:val="center"/>
          </w:tcPr>
          <w:p>
            <w:pPr>
              <w:spacing w:line="276" w:lineRule="auto"/>
              <w:jc w:val="center"/>
              <w:rPr>
                <w:rFonts w:ascii="宋体" w:hAnsi="宋体"/>
                <w:b/>
                <w:sz w:val="20"/>
                <w:szCs w:val="18"/>
              </w:rPr>
            </w:pPr>
            <w:r>
              <w:rPr>
                <w:rFonts w:ascii="宋体" w:hAnsi="宋体"/>
                <w:b/>
                <w:sz w:val="20"/>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ascii="宋体" w:hAnsi="宋体"/>
                <w:sz w:val="20"/>
                <w:szCs w:val="18"/>
              </w:rPr>
            </w:pPr>
            <w:r>
              <w:rPr>
                <w:rFonts w:hint="eastAsia" w:ascii="宋体" w:hAnsi="宋体"/>
                <w:sz w:val="20"/>
                <w:szCs w:val="18"/>
              </w:rPr>
              <w:t>1</w:t>
            </w:r>
          </w:p>
        </w:tc>
        <w:tc>
          <w:tcPr>
            <w:tcW w:w="3804" w:type="dxa"/>
            <w:gridSpan w:val="3"/>
            <w:vAlign w:val="center"/>
          </w:tcPr>
          <w:p>
            <w:pPr>
              <w:spacing w:line="276" w:lineRule="auto"/>
              <w:jc w:val="center"/>
              <w:rPr>
                <w:rFonts w:ascii="宋体" w:hAnsi="宋体"/>
                <w:sz w:val="20"/>
                <w:szCs w:val="18"/>
              </w:rPr>
            </w:pPr>
            <w:r>
              <w:rPr>
                <w:rFonts w:ascii="宋体" w:hAnsi="宋体"/>
                <w:b/>
                <w:w w:val="99"/>
                <w:sz w:val="20"/>
                <w:szCs w:val="18"/>
              </w:rPr>
              <w:t>价格</w:t>
            </w:r>
            <w:r>
              <w:rPr>
                <w:rFonts w:hint="eastAsia" w:ascii="宋体" w:hAnsi="宋体"/>
                <w:b/>
                <w:w w:val="99"/>
                <w:sz w:val="20"/>
                <w:szCs w:val="18"/>
              </w:rPr>
              <w:t>部分</w:t>
            </w:r>
          </w:p>
        </w:tc>
        <w:tc>
          <w:tcPr>
            <w:tcW w:w="4710" w:type="dxa"/>
            <w:gridSpan w:val="2"/>
            <w:vAlign w:val="center"/>
          </w:tcPr>
          <w:p>
            <w:pPr>
              <w:spacing w:line="276" w:lineRule="auto"/>
              <w:jc w:val="center"/>
              <w:rPr>
                <w:rFonts w:hint="default" w:ascii="宋体" w:hAnsi="宋体" w:eastAsia="宋体"/>
                <w:sz w:val="20"/>
                <w:szCs w:val="18"/>
                <w:lang w:val="en-US" w:eastAsia="zh-CN"/>
              </w:rPr>
            </w:pPr>
            <w:r>
              <w:rPr>
                <w:rFonts w:hint="eastAsia"/>
                <w:b/>
                <w:sz w:val="20"/>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2</w:t>
            </w:r>
          </w:p>
        </w:tc>
        <w:tc>
          <w:tcPr>
            <w:tcW w:w="3804" w:type="dxa"/>
            <w:gridSpan w:val="3"/>
            <w:vAlign w:val="center"/>
          </w:tcPr>
          <w:p>
            <w:pPr>
              <w:spacing w:line="276" w:lineRule="auto"/>
              <w:jc w:val="center"/>
              <w:rPr>
                <w:rFonts w:ascii="宋体" w:hAnsi="宋体"/>
                <w:sz w:val="20"/>
                <w:szCs w:val="18"/>
              </w:rPr>
            </w:pPr>
            <w:r>
              <w:rPr>
                <w:rFonts w:hint="eastAsia" w:ascii="宋体" w:hAnsi="宋体"/>
                <w:b/>
                <w:w w:val="99"/>
                <w:sz w:val="20"/>
                <w:szCs w:val="18"/>
                <w:lang w:eastAsia="zh-CN"/>
              </w:rPr>
              <w:t>技术</w:t>
            </w:r>
            <w:r>
              <w:rPr>
                <w:rFonts w:ascii="宋体" w:hAnsi="宋体"/>
                <w:b/>
                <w:w w:val="99"/>
                <w:sz w:val="20"/>
                <w:szCs w:val="18"/>
              </w:rPr>
              <w:t>部分</w:t>
            </w:r>
          </w:p>
        </w:tc>
        <w:tc>
          <w:tcPr>
            <w:tcW w:w="4710" w:type="dxa"/>
            <w:gridSpan w:val="2"/>
            <w:vAlign w:val="center"/>
          </w:tcPr>
          <w:p>
            <w:pPr>
              <w:spacing w:line="276" w:lineRule="auto"/>
              <w:jc w:val="center"/>
              <w:rPr>
                <w:rFonts w:hint="default" w:ascii="宋体" w:hAnsi="宋体" w:eastAsia="宋体"/>
                <w:sz w:val="20"/>
                <w:szCs w:val="18"/>
                <w:lang w:val="en-US" w:eastAsia="zh-CN"/>
              </w:rPr>
            </w:pPr>
            <w:r>
              <w:rPr>
                <w:rFonts w:hint="eastAsia"/>
                <w:b/>
                <w:sz w:val="20"/>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序号</w:t>
            </w:r>
          </w:p>
        </w:tc>
        <w:tc>
          <w:tcPr>
            <w:tcW w:w="2453"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评分因素</w:t>
            </w:r>
          </w:p>
        </w:tc>
        <w:tc>
          <w:tcPr>
            <w:tcW w:w="65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权重</w:t>
            </w:r>
          </w:p>
        </w:tc>
        <w:tc>
          <w:tcPr>
            <w:tcW w:w="111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评分方式</w:t>
            </w:r>
          </w:p>
        </w:tc>
        <w:tc>
          <w:tcPr>
            <w:tcW w:w="360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ascii="宋体" w:hAnsi="宋体" w:cs="仿宋"/>
                <w:sz w:val="20"/>
              </w:rPr>
            </w:pPr>
          </w:p>
        </w:tc>
        <w:tc>
          <w:tcPr>
            <w:tcW w:w="701" w:type="dxa"/>
            <w:vAlign w:val="center"/>
          </w:tcPr>
          <w:p>
            <w:pPr>
              <w:jc w:val="center"/>
              <w:rPr>
                <w:rFonts w:ascii="宋体" w:hAnsi="宋体" w:cs="仿宋"/>
                <w:sz w:val="20"/>
              </w:rPr>
            </w:pPr>
            <w:r>
              <w:rPr>
                <w:rFonts w:ascii="宋体" w:hAnsi="宋体" w:cs="仿宋"/>
                <w:szCs w:val="21"/>
              </w:rPr>
              <w:t>1</w:t>
            </w:r>
          </w:p>
        </w:tc>
        <w:tc>
          <w:tcPr>
            <w:tcW w:w="2453" w:type="dxa"/>
            <w:vAlign w:val="center"/>
          </w:tcPr>
          <w:p>
            <w:pPr>
              <w:widowControl/>
              <w:jc w:val="center"/>
              <w:rPr>
                <w:rFonts w:ascii="宋体" w:hAnsi="宋体" w:cs="仿宋"/>
                <w:sz w:val="20"/>
              </w:rPr>
            </w:pPr>
            <w:r>
              <w:rPr>
                <w:rFonts w:ascii="宋体" w:hAnsi="宋体" w:cs="仿宋"/>
                <w:szCs w:val="21"/>
              </w:rPr>
              <w:t>实施方案（工作措施、工作方法、工作手段、工作流程）</w:t>
            </w:r>
          </w:p>
        </w:tc>
        <w:tc>
          <w:tcPr>
            <w:tcW w:w="650" w:type="dxa"/>
            <w:vAlign w:val="center"/>
          </w:tcPr>
          <w:p>
            <w:pPr>
              <w:widowControl/>
              <w:jc w:val="center"/>
              <w:rPr>
                <w:rFonts w:hint="default" w:ascii="宋体" w:hAnsi="宋体" w:cs="仿宋"/>
                <w:sz w:val="20"/>
                <w:lang w:val="en-US"/>
              </w:rPr>
            </w:pPr>
            <w:r>
              <w:rPr>
                <w:rFonts w:hint="eastAsia" w:ascii="宋体" w:hAnsi="宋体" w:cs="仿宋"/>
                <w:szCs w:val="21"/>
                <w:lang w:val="en-US" w:eastAsia="zh-CN"/>
              </w:rPr>
              <w:t>10</w:t>
            </w:r>
          </w:p>
        </w:tc>
        <w:tc>
          <w:tcPr>
            <w:tcW w:w="1110" w:type="dxa"/>
            <w:vAlign w:val="center"/>
          </w:tcPr>
          <w:p>
            <w:pPr>
              <w:jc w:val="center"/>
              <w:rPr>
                <w:rFonts w:ascii="宋体" w:hAnsi="宋体" w:cs="仿宋"/>
                <w:sz w:val="20"/>
              </w:rPr>
            </w:pPr>
            <w:r>
              <w:rPr>
                <w:rFonts w:hint="eastAsia" w:ascii="宋体" w:hAnsi="宋体" w:cs="仿宋"/>
                <w:szCs w:val="21"/>
              </w:rPr>
              <w:t>专家打分</w:t>
            </w:r>
          </w:p>
        </w:tc>
        <w:tc>
          <w:tcPr>
            <w:tcW w:w="3600" w:type="dxa"/>
            <w:vAlign w:val="center"/>
          </w:tcPr>
          <w:p>
            <w:pPr>
              <w:widowControl/>
              <w:jc w:val="left"/>
              <w:rPr>
                <w:rFonts w:ascii="宋体" w:hAnsi="宋体" w:cs="仿宋"/>
                <w:sz w:val="20"/>
                <w:lang w:val="zh-CN"/>
              </w:rPr>
            </w:pPr>
            <w:r>
              <w:rPr>
                <w:rFonts w:ascii="宋体" w:hAnsi="宋体" w:cs="仿宋"/>
                <w:szCs w:val="21"/>
              </w:rPr>
              <w:t>按照投标文件响应情况进行横向比较，分档评分：评价为优得</w:t>
            </w:r>
            <w:r>
              <w:rPr>
                <w:rFonts w:hint="eastAsia" w:ascii="宋体" w:hAnsi="宋体" w:cs="仿宋"/>
                <w:szCs w:val="21"/>
              </w:rPr>
              <w:t>10</w:t>
            </w:r>
            <w:r>
              <w:rPr>
                <w:rFonts w:ascii="宋体" w:hAnsi="宋体" w:cs="仿宋"/>
                <w:szCs w:val="21"/>
              </w:rPr>
              <w:t>分；评价为良得</w:t>
            </w:r>
            <w:r>
              <w:rPr>
                <w:rFonts w:hint="eastAsia" w:ascii="宋体" w:hAnsi="宋体" w:cs="仿宋"/>
                <w:szCs w:val="21"/>
                <w:lang w:val="en-US" w:eastAsia="zh-CN"/>
              </w:rPr>
              <w:t>6</w:t>
            </w:r>
            <w:r>
              <w:rPr>
                <w:rFonts w:ascii="宋体" w:hAnsi="宋体" w:cs="仿宋"/>
                <w:szCs w:val="21"/>
              </w:rPr>
              <w:t>分；评价为</w:t>
            </w:r>
            <w:r>
              <w:rPr>
                <w:rFonts w:hint="eastAsia" w:ascii="宋体" w:hAnsi="宋体" w:cs="仿宋"/>
                <w:szCs w:val="21"/>
                <w:lang w:eastAsia="zh-CN"/>
              </w:rPr>
              <w:t>一般</w:t>
            </w:r>
            <w:r>
              <w:rPr>
                <w:rFonts w:ascii="宋体" w:hAnsi="宋体" w:cs="仿宋"/>
                <w:szCs w:val="21"/>
              </w:rPr>
              <w:t>得</w:t>
            </w:r>
            <w:r>
              <w:rPr>
                <w:rFonts w:hint="eastAsia" w:ascii="宋体" w:hAnsi="宋体" w:cs="仿宋"/>
                <w:szCs w:val="21"/>
                <w:lang w:val="en-US" w:eastAsia="zh-CN"/>
              </w:rPr>
              <w:t>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 w:val="20"/>
                <w:szCs w:val="18"/>
              </w:rPr>
            </w:pPr>
            <w:r>
              <w:rPr>
                <w:rFonts w:hint="eastAsia" w:ascii="宋体" w:hAnsi="宋体" w:cs="仿宋"/>
                <w:szCs w:val="21"/>
                <w:lang w:val="en-US" w:eastAsia="zh-CN"/>
              </w:rPr>
              <w:t>2</w:t>
            </w:r>
          </w:p>
        </w:tc>
        <w:tc>
          <w:tcPr>
            <w:tcW w:w="2453" w:type="dxa"/>
            <w:vAlign w:val="center"/>
          </w:tcPr>
          <w:p>
            <w:pPr>
              <w:widowControl/>
              <w:spacing w:line="300" w:lineRule="atLeast"/>
              <w:jc w:val="center"/>
              <w:rPr>
                <w:rFonts w:ascii="宋体" w:hAnsi="宋体"/>
                <w:sz w:val="20"/>
                <w:szCs w:val="18"/>
              </w:rPr>
            </w:pPr>
            <w:r>
              <w:rPr>
                <w:rFonts w:ascii="宋体" w:hAnsi="宋体" w:cs="仿宋"/>
                <w:szCs w:val="21"/>
              </w:rPr>
              <w:t>项目重点难点分析、应对措施及相关的合理化建议</w:t>
            </w:r>
          </w:p>
        </w:tc>
        <w:tc>
          <w:tcPr>
            <w:tcW w:w="650" w:type="dxa"/>
            <w:vAlign w:val="center"/>
          </w:tcPr>
          <w:p>
            <w:pPr>
              <w:widowControl/>
              <w:spacing w:line="300" w:lineRule="atLeast"/>
              <w:jc w:val="center"/>
              <w:rPr>
                <w:rFonts w:hint="default" w:ascii="宋体" w:hAnsi="宋体" w:eastAsia="宋体"/>
                <w:sz w:val="20"/>
                <w:szCs w:val="18"/>
                <w:lang w:val="en-US" w:eastAsia="zh-CN"/>
              </w:rPr>
            </w:pPr>
            <w:r>
              <w:rPr>
                <w:rFonts w:hint="eastAsia" w:ascii="宋体" w:hAnsi="宋体" w:cs="仿宋"/>
                <w:szCs w:val="21"/>
                <w:lang w:val="en-US" w:eastAsia="zh-CN"/>
              </w:rPr>
              <w:t>10</w:t>
            </w:r>
          </w:p>
        </w:tc>
        <w:tc>
          <w:tcPr>
            <w:tcW w:w="1110" w:type="dxa"/>
            <w:vAlign w:val="center"/>
          </w:tcPr>
          <w:p>
            <w:pPr>
              <w:jc w:val="center"/>
              <w:rPr>
                <w:sz w:val="20"/>
                <w:szCs w:val="18"/>
              </w:rPr>
            </w:pPr>
            <w:r>
              <w:rPr>
                <w:rFonts w:hint="eastAsia" w:ascii="宋体" w:hAnsi="宋体" w:cs="仿宋"/>
                <w:szCs w:val="21"/>
              </w:rPr>
              <w:t>专家打分</w:t>
            </w:r>
          </w:p>
        </w:tc>
        <w:tc>
          <w:tcPr>
            <w:tcW w:w="3600" w:type="dxa"/>
            <w:vAlign w:val="center"/>
          </w:tcPr>
          <w:p>
            <w:pPr>
              <w:widowControl/>
              <w:jc w:val="left"/>
              <w:rPr>
                <w:rFonts w:ascii="宋体" w:hAnsi="宋体" w:cs="宋体"/>
                <w:sz w:val="20"/>
                <w:lang w:val="zh-CN"/>
              </w:rPr>
            </w:pPr>
            <w:r>
              <w:rPr>
                <w:rFonts w:ascii="宋体" w:hAnsi="宋体" w:cs="仿宋"/>
                <w:szCs w:val="21"/>
              </w:rPr>
              <w:t>按照投标文件响应情况进行横向比较，分档评分：评价为优得</w:t>
            </w:r>
            <w:r>
              <w:rPr>
                <w:rFonts w:hint="eastAsia" w:ascii="宋体" w:hAnsi="宋体" w:cs="仿宋"/>
                <w:szCs w:val="21"/>
                <w:lang w:val="en-US" w:eastAsia="zh-CN"/>
              </w:rPr>
              <w:t>10</w:t>
            </w:r>
            <w:r>
              <w:rPr>
                <w:rFonts w:ascii="宋体" w:hAnsi="宋体" w:cs="仿宋"/>
                <w:szCs w:val="21"/>
              </w:rPr>
              <w:t>分；评价为良得</w:t>
            </w:r>
            <w:r>
              <w:rPr>
                <w:rFonts w:hint="eastAsia" w:ascii="宋体" w:hAnsi="宋体" w:cs="仿宋"/>
                <w:szCs w:val="21"/>
                <w:lang w:val="en-US" w:eastAsia="zh-CN"/>
              </w:rPr>
              <w:t>6</w:t>
            </w:r>
            <w:r>
              <w:rPr>
                <w:rFonts w:ascii="宋体" w:hAnsi="宋体" w:cs="仿宋"/>
                <w:szCs w:val="21"/>
              </w:rPr>
              <w:t>分；评价为</w:t>
            </w:r>
            <w:r>
              <w:rPr>
                <w:rFonts w:hint="eastAsia" w:ascii="宋体" w:hAnsi="宋体" w:cs="仿宋"/>
                <w:szCs w:val="21"/>
                <w:lang w:eastAsia="zh-CN"/>
              </w:rPr>
              <w:t>一般</w:t>
            </w:r>
            <w:r>
              <w:rPr>
                <w:rFonts w:ascii="宋体" w:hAnsi="宋体" w:cs="仿宋"/>
                <w:szCs w:val="21"/>
              </w:rPr>
              <w:t>得</w:t>
            </w:r>
            <w:r>
              <w:rPr>
                <w:rFonts w:hint="eastAsia" w:ascii="宋体" w:hAnsi="宋体" w:cs="仿宋"/>
                <w:szCs w:val="21"/>
              </w:rPr>
              <w:t>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cs="仿宋"/>
                <w:sz w:val="20"/>
              </w:rPr>
            </w:pPr>
            <w:r>
              <w:rPr>
                <w:rFonts w:hint="eastAsia" w:ascii="宋体" w:hAnsi="宋体" w:cs="仿宋"/>
                <w:szCs w:val="21"/>
                <w:lang w:val="en-US" w:eastAsia="zh-CN"/>
              </w:rPr>
              <w:t>3</w:t>
            </w:r>
          </w:p>
        </w:tc>
        <w:tc>
          <w:tcPr>
            <w:tcW w:w="2453" w:type="dxa"/>
            <w:vAlign w:val="center"/>
          </w:tcPr>
          <w:p>
            <w:pPr>
              <w:widowControl/>
              <w:spacing w:line="300" w:lineRule="atLeast"/>
              <w:jc w:val="center"/>
              <w:rPr>
                <w:rFonts w:ascii="宋体" w:hAnsi="宋体" w:cs="仿宋"/>
                <w:sz w:val="20"/>
              </w:rPr>
            </w:pPr>
            <w:r>
              <w:rPr>
                <w:rFonts w:ascii="宋体" w:hAnsi="宋体" w:cs="仿宋"/>
                <w:szCs w:val="21"/>
              </w:rPr>
              <w:t>质量（完成时间、安全、环保）保障措施及方案</w:t>
            </w:r>
          </w:p>
        </w:tc>
        <w:tc>
          <w:tcPr>
            <w:tcW w:w="650" w:type="dxa"/>
            <w:vAlign w:val="center"/>
          </w:tcPr>
          <w:p>
            <w:pPr>
              <w:widowControl/>
              <w:spacing w:line="300" w:lineRule="atLeast"/>
              <w:jc w:val="center"/>
              <w:rPr>
                <w:rFonts w:hint="default" w:ascii="宋体" w:hAnsi="宋体" w:eastAsia="宋体" w:cs="仿宋"/>
                <w:sz w:val="20"/>
                <w:lang w:val="en-US" w:eastAsia="zh-CN"/>
              </w:rPr>
            </w:pPr>
            <w:r>
              <w:rPr>
                <w:rFonts w:hint="eastAsia" w:ascii="宋体" w:hAnsi="宋体" w:cs="仿宋"/>
                <w:szCs w:val="21"/>
                <w:lang w:val="en-US" w:eastAsia="zh-CN"/>
              </w:rPr>
              <w:t>10</w:t>
            </w:r>
          </w:p>
        </w:tc>
        <w:tc>
          <w:tcPr>
            <w:tcW w:w="1110" w:type="dxa"/>
            <w:vAlign w:val="center"/>
          </w:tcPr>
          <w:p>
            <w:pPr>
              <w:jc w:val="center"/>
              <w:rPr>
                <w:rFonts w:ascii="宋体" w:hAnsi="宋体" w:cs="仿宋"/>
                <w:sz w:val="20"/>
              </w:rPr>
            </w:pPr>
            <w:r>
              <w:rPr>
                <w:rFonts w:hint="eastAsia" w:ascii="宋体" w:hAnsi="宋体" w:cs="仿宋"/>
                <w:szCs w:val="21"/>
              </w:rPr>
              <w:t>专家打分</w:t>
            </w:r>
          </w:p>
        </w:tc>
        <w:tc>
          <w:tcPr>
            <w:tcW w:w="3600" w:type="dxa"/>
            <w:vAlign w:val="center"/>
          </w:tcPr>
          <w:p>
            <w:pPr>
              <w:widowControl/>
              <w:jc w:val="left"/>
              <w:rPr>
                <w:rFonts w:ascii="宋体" w:hAnsi="宋体" w:cs="仿宋"/>
                <w:sz w:val="20"/>
              </w:rPr>
            </w:pPr>
            <w:r>
              <w:rPr>
                <w:rFonts w:ascii="宋体" w:hAnsi="宋体" w:cs="仿宋"/>
                <w:szCs w:val="21"/>
              </w:rPr>
              <w:t>按照投标文件响应情况进行横向比较，分档评分：评价为优得</w:t>
            </w:r>
            <w:r>
              <w:rPr>
                <w:rFonts w:hint="eastAsia" w:ascii="宋体" w:hAnsi="宋体" w:cs="仿宋"/>
                <w:szCs w:val="21"/>
                <w:lang w:val="en-US" w:eastAsia="zh-CN"/>
              </w:rPr>
              <w:t>10</w:t>
            </w:r>
            <w:r>
              <w:rPr>
                <w:rFonts w:ascii="宋体" w:hAnsi="宋体" w:cs="仿宋"/>
                <w:szCs w:val="21"/>
              </w:rPr>
              <w:t>分；评价为良得</w:t>
            </w:r>
            <w:r>
              <w:rPr>
                <w:rFonts w:hint="eastAsia" w:ascii="宋体" w:hAnsi="宋体" w:cs="仿宋"/>
                <w:szCs w:val="21"/>
                <w:lang w:val="en-US" w:eastAsia="zh-CN"/>
              </w:rPr>
              <w:t>6</w:t>
            </w:r>
            <w:r>
              <w:rPr>
                <w:rFonts w:ascii="宋体" w:hAnsi="宋体" w:cs="仿宋"/>
                <w:szCs w:val="21"/>
              </w:rPr>
              <w:t>分；评价为</w:t>
            </w:r>
            <w:r>
              <w:rPr>
                <w:rFonts w:hint="eastAsia" w:ascii="宋体" w:hAnsi="宋体" w:cs="仿宋"/>
                <w:szCs w:val="21"/>
                <w:lang w:eastAsia="zh-CN"/>
              </w:rPr>
              <w:t>一般</w:t>
            </w:r>
            <w:r>
              <w:rPr>
                <w:rFonts w:ascii="宋体" w:hAnsi="宋体" w:cs="仿宋"/>
                <w:szCs w:val="21"/>
              </w:rPr>
              <w:t>得</w:t>
            </w:r>
            <w:r>
              <w:rPr>
                <w:rFonts w:hint="eastAsia" w:ascii="宋体" w:hAnsi="宋体" w:cs="仿宋"/>
                <w:szCs w:val="21"/>
              </w:rPr>
              <w:t>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default" w:ascii="宋体" w:hAnsi="宋体" w:cs="仿宋"/>
                <w:szCs w:val="21"/>
                <w:lang w:val="en-US" w:eastAsia="zh-CN"/>
              </w:rPr>
            </w:pPr>
            <w:r>
              <w:rPr>
                <w:rFonts w:hint="eastAsia" w:ascii="宋体" w:hAnsi="宋体" w:cs="仿宋"/>
                <w:szCs w:val="21"/>
                <w:lang w:val="en-US" w:eastAsia="zh-CN"/>
              </w:rPr>
              <w:t>4</w:t>
            </w:r>
          </w:p>
        </w:tc>
        <w:tc>
          <w:tcPr>
            <w:tcW w:w="2453" w:type="dxa"/>
            <w:vAlign w:val="center"/>
          </w:tcPr>
          <w:p>
            <w:pPr>
              <w:widowControl/>
              <w:spacing w:line="300" w:lineRule="atLeast"/>
              <w:jc w:val="center"/>
              <w:rPr>
                <w:rFonts w:ascii="宋体" w:hAnsi="宋体" w:cs="仿宋"/>
                <w:szCs w:val="21"/>
              </w:rPr>
            </w:pPr>
            <w:r>
              <w:rPr>
                <w:rFonts w:ascii="宋体" w:hAnsi="宋体" w:cs="仿宋"/>
                <w:szCs w:val="21"/>
              </w:rPr>
              <w:t>违约承诺</w:t>
            </w:r>
          </w:p>
        </w:tc>
        <w:tc>
          <w:tcPr>
            <w:tcW w:w="650" w:type="dxa"/>
            <w:vAlign w:val="center"/>
          </w:tcPr>
          <w:p>
            <w:pPr>
              <w:widowControl/>
              <w:spacing w:line="300" w:lineRule="atLeast"/>
              <w:jc w:val="center"/>
              <w:rPr>
                <w:rFonts w:hint="eastAsia" w:ascii="宋体" w:hAnsi="宋体" w:eastAsia="宋体" w:cs="仿宋"/>
                <w:szCs w:val="21"/>
                <w:lang w:val="en-US" w:eastAsia="zh-CN"/>
              </w:rPr>
            </w:pPr>
            <w:r>
              <w:rPr>
                <w:rFonts w:hint="eastAsia" w:ascii="宋体" w:hAnsi="宋体" w:cs="仿宋"/>
                <w:szCs w:val="21"/>
                <w:lang w:val="en-US" w:eastAsia="zh-CN"/>
              </w:rPr>
              <w:t>5</w:t>
            </w:r>
          </w:p>
        </w:tc>
        <w:tc>
          <w:tcPr>
            <w:tcW w:w="1110" w:type="dxa"/>
            <w:vAlign w:val="center"/>
          </w:tcPr>
          <w:p>
            <w:pPr>
              <w:jc w:val="center"/>
              <w:rPr>
                <w:rFonts w:hint="eastAsia" w:ascii="宋体" w:hAnsi="宋体" w:cs="仿宋"/>
                <w:szCs w:val="21"/>
              </w:rPr>
            </w:pPr>
            <w:r>
              <w:rPr>
                <w:rFonts w:hint="eastAsia" w:ascii="宋体" w:hAnsi="宋体" w:cs="仿宋"/>
                <w:szCs w:val="21"/>
              </w:rPr>
              <w:t>专家打分</w:t>
            </w:r>
          </w:p>
        </w:tc>
        <w:tc>
          <w:tcPr>
            <w:tcW w:w="3600" w:type="dxa"/>
            <w:vAlign w:val="center"/>
          </w:tcPr>
          <w:p>
            <w:pPr>
              <w:widowControl/>
              <w:jc w:val="left"/>
              <w:rPr>
                <w:rFonts w:ascii="宋体" w:hAnsi="宋体" w:cs="仿宋"/>
                <w:szCs w:val="21"/>
              </w:rPr>
            </w:pPr>
            <w:r>
              <w:rPr>
                <w:rFonts w:ascii="宋体" w:hAnsi="宋体" w:cs="仿宋"/>
                <w:szCs w:val="21"/>
              </w:rPr>
              <w:t>按照投标文件响应情况进行横向比较，分档评分：评价为优得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3</w:t>
            </w:r>
            <w:r>
              <w:rPr>
                <w:rFonts w:ascii="宋体" w:hAnsi="宋体" w:cs="仿宋"/>
                <w:szCs w:val="21"/>
              </w:rPr>
              <w:t>分；评价为</w:t>
            </w:r>
            <w:r>
              <w:rPr>
                <w:rFonts w:hint="eastAsia" w:ascii="宋体" w:hAnsi="宋体" w:cs="仿宋"/>
                <w:szCs w:val="21"/>
                <w:lang w:eastAsia="zh-CN"/>
              </w:rPr>
              <w:t>一般</w:t>
            </w:r>
            <w:r>
              <w:rPr>
                <w:rFonts w:ascii="宋体" w:hAnsi="宋体" w:cs="仿宋"/>
                <w:szCs w:val="21"/>
              </w:rPr>
              <w:t>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szCs w:val="21"/>
              </w:rPr>
            </w:pPr>
            <w:r>
              <w:rPr>
                <w:rFonts w:hint="eastAsia" w:ascii="宋体" w:hAnsi="宋体" w:cs="仿宋"/>
                <w:szCs w:val="21"/>
                <w:lang w:val="en-US" w:eastAsia="zh-CN"/>
              </w:rPr>
              <w:t>4</w:t>
            </w:r>
          </w:p>
        </w:tc>
        <w:tc>
          <w:tcPr>
            <w:tcW w:w="2453" w:type="dxa"/>
            <w:vAlign w:val="center"/>
          </w:tcPr>
          <w:p>
            <w:pPr>
              <w:widowControl/>
              <w:spacing w:line="300" w:lineRule="atLeast"/>
              <w:jc w:val="center"/>
              <w:rPr>
                <w:rFonts w:hint="eastAsia" w:ascii="宋体" w:hAnsi="宋体"/>
                <w:szCs w:val="21"/>
              </w:rPr>
            </w:pPr>
            <w:r>
              <w:rPr>
                <w:rFonts w:ascii="宋体" w:hAnsi="宋体" w:cs="仿宋"/>
                <w:szCs w:val="21"/>
              </w:rPr>
              <w:t>拟安排的项目负责人情况</w:t>
            </w:r>
          </w:p>
        </w:tc>
        <w:tc>
          <w:tcPr>
            <w:tcW w:w="650" w:type="dxa"/>
            <w:vAlign w:val="center"/>
          </w:tcPr>
          <w:p>
            <w:pPr>
              <w:widowControl/>
              <w:spacing w:line="300" w:lineRule="atLeast"/>
              <w:jc w:val="center"/>
              <w:rPr>
                <w:rFonts w:hint="default" w:ascii="宋体" w:hAnsi="宋体" w:eastAsia="宋体"/>
                <w:szCs w:val="21"/>
                <w:lang w:val="en-US" w:eastAsia="zh-CN"/>
              </w:rPr>
            </w:pPr>
            <w:r>
              <w:rPr>
                <w:rFonts w:hint="eastAsia" w:ascii="宋体" w:hAnsi="宋体" w:cs="仿宋"/>
                <w:szCs w:val="21"/>
                <w:lang w:val="en-US" w:eastAsia="zh-CN"/>
              </w:rPr>
              <w:t>10</w:t>
            </w:r>
          </w:p>
        </w:tc>
        <w:tc>
          <w:tcPr>
            <w:tcW w:w="1110" w:type="dxa"/>
            <w:vAlign w:val="center"/>
          </w:tcPr>
          <w:p>
            <w:pPr>
              <w:jc w:val="center"/>
              <w:rPr>
                <w:rFonts w:hint="eastAsia" w:ascii="宋体" w:hAnsi="宋体"/>
                <w:szCs w:val="21"/>
              </w:rPr>
            </w:pPr>
            <w:r>
              <w:rPr>
                <w:rFonts w:hint="eastAsia" w:ascii="宋体" w:hAnsi="宋体" w:cs="仿宋"/>
                <w:szCs w:val="21"/>
              </w:rPr>
              <w:t>专家打分</w:t>
            </w:r>
          </w:p>
        </w:tc>
        <w:tc>
          <w:tcPr>
            <w:tcW w:w="3600" w:type="dxa"/>
            <w:vAlign w:val="center"/>
          </w:tcPr>
          <w:p>
            <w:pPr>
              <w:widowControl w:val="0"/>
              <w:snapToGrid w:val="0"/>
              <w:spacing w:line="360" w:lineRule="auto"/>
              <w:rPr>
                <w:rFonts w:hint="eastAsia" w:ascii="宋体" w:hAnsi="宋体" w:eastAsia="宋体" w:cs="宋体"/>
                <w:color w:val="auto"/>
                <w:szCs w:val="21"/>
              </w:rPr>
            </w:pPr>
            <w:r>
              <w:rPr>
                <w:rFonts w:hint="eastAsia"/>
                <w:color w:val="auto"/>
              </w:rPr>
              <w:t>（1）</w:t>
            </w:r>
            <w:r>
              <w:rPr>
                <w:rFonts w:hint="eastAsia" w:ascii="宋体" w:hAnsi="宋体" w:eastAsia="宋体" w:cs="宋体"/>
                <w:color w:val="auto"/>
                <w:szCs w:val="21"/>
              </w:rPr>
              <w:t>取得人力资源和社会保障部门颁发的工程造价专业</w:t>
            </w:r>
            <w:r>
              <w:rPr>
                <w:rFonts w:hint="eastAsia" w:ascii="宋体" w:hAnsi="宋体" w:eastAsia="宋体" w:cs="宋体"/>
                <w:color w:val="auto"/>
                <w:szCs w:val="21"/>
                <w:lang w:eastAsia="zh-CN"/>
              </w:rPr>
              <w:t>的</w:t>
            </w:r>
            <w:r>
              <w:rPr>
                <w:rFonts w:hint="eastAsia" w:ascii="宋体" w:hAnsi="宋体" w:eastAsia="宋体" w:cs="宋体"/>
                <w:color w:val="auto"/>
                <w:szCs w:val="21"/>
              </w:rPr>
              <w:t>高级职称，得</w:t>
            </w:r>
            <w:r>
              <w:rPr>
                <w:rFonts w:hint="eastAsia" w:ascii="宋体" w:hAnsi="宋体" w:cs="宋体"/>
                <w:color w:val="auto"/>
                <w:szCs w:val="21"/>
                <w:lang w:val="en-US" w:eastAsia="zh-CN"/>
              </w:rPr>
              <w:t>3</w:t>
            </w:r>
            <w:r>
              <w:rPr>
                <w:rFonts w:hint="eastAsia" w:ascii="宋体" w:hAnsi="宋体" w:eastAsia="宋体" w:cs="宋体"/>
                <w:color w:val="auto"/>
                <w:szCs w:val="21"/>
              </w:rPr>
              <w:t>分。</w:t>
            </w:r>
          </w:p>
          <w:p>
            <w:pPr>
              <w:widowControl w:val="0"/>
              <w:snapToGrid w:val="0"/>
              <w:spacing w:line="360" w:lineRule="auto"/>
              <w:rPr>
                <w:rFonts w:hint="eastAsia" w:ascii="宋体" w:hAnsi="宋体" w:eastAsia="宋体" w:cs="宋体"/>
                <w:color w:val="auto"/>
                <w:szCs w:val="21"/>
              </w:rPr>
            </w:pPr>
            <w:r>
              <w:rPr>
                <w:rFonts w:hint="eastAsia"/>
                <w:color w:val="auto"/>
              </w:rPr>
              <w:t>（2）</w:t>
            </w:r>
            <w:r>
              <w:rPr>
                <w:rFonts w:hint="eastAsia" w:ascii="宋体" w:hAnsi="宋体" w:eastAsia="宋体" w:cs="宋体"/>
                <w:color w:val="auto"/>
                <w:szCs w:val="21"/>
              </w:rPr>
              <w:t>项目负责人有做过同类项目[同类项目专指医院医疗设备</w:t>
            </w:r>
            <w:r>
              <w:rPr>
                <w:rFonts w:hint="eastAsia" w:ascii="宋体" w:hAnsi="宋体" w:cs="宋体"/>
                <w:color w:val="auto"/>
                <w:szCs w:val="21"/>
                <w:lang w:val="en-US" w:eastAsia="zh-CN"/>
              </w:rPr>
              <w:t>购置</w:t>
            </w:r>
            <w:r>
              <w:rPr>
                <w:rFonts w:hint="eastAsia" w:ascii="宋体" w:hAnsi="宋体" w:eastAsia="宋体" w:cs="宋体"/>
                <w:color w:val="auto"/>
                <w:szCs w:val="21"/>
              </w:rPr>
              <w:t>概算编制]的项目负责人的工作经验的，得</w:t>
            </w:r>
            <w:r>
              <w:rPr>
                <w:rFonts w:hint="eastAsia" w:ascii="宋体" w:hAnsi="宋体" w:cs="宋体"/>
                <w:color w:val="auto"/>
                <w:szCs w:val="21"/>
                <w:lang w:val="en-US" w:eastAsia="zh-CN"/>
              </w:rPr>
              <w:t>5</w:t>
            </w:r>
            <w:r>
              <w:rPr>
                <w:rFonts w:hint="eastAsia" w:ascii="宋体" w:hAnsi="宋体" w:eastAsia="宋体" w:cs="宋体"/>
                <w:color w:val="auto"/>
                <w:szCs w:val="21"/>
              </w:rPr>
              <w:t>分。</w:t>
            </w:r>
          </w:p>
          <w:p>
            <w:pPr>
              <w:widowControl/>
              <w:jc w:val="left"/>
              <w:rPr>
                <w:rFonts w:hint="eastAsia" w:ascii="宋体" w:hAnsi="宋体"/>
                <w:szCs w:val="24"/>
              </w:rPr>
            </w:pPr>
            <w:r>
              <w:rPr>
                <w:rFonts w:hint="eastAsia"/>
                <w:color w:val="auto"/>
              </w:rPr>
              <w:t>（3）</w:t>
            </w:r>
            <w:r>
              <w:rPr>
                <w:rFonts w:hint="eastAsia" w:ascii="宋体" w:hAnsi="宋体" w:eastAsia="宋体" w:cs="宋体"/>
                <w:color w:val="auto"/>
                <w:szCs w:val="21"/>
              </w:rPr>
              <w:t>具有中华人民共和国住房和城乡建设部颁发的一级注册造价工程师证书的，得</w:t>
            </w:r>
            <w:r>
              <w:rPr>
                <w:rFonts w:hint="eastAsia" w:ascii="宋体" w:hAnsi="宋体" w:cs="宋体"/>
                <w:color w:val="auto"/>
                <w:szCs w:val="21"/>
                <w:lang w:val="en-US" w:eastAsia="zh-CN"/>
              </w:rPr>
              <w:t>2</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szCs w:val="21"/>
              </w:rPr>
            </w:pPr>
            <w:r>
              <w:rPr>
                <w:rFonts w:hint="eastAsia" w:ascii="宋体" w:hAnsi="宋体" w:cs="仿宋"/>
                <w:szCs w:val="21"/>
                <w:lang w:val="en-US" w:eastAsia="zh-CN"/>
              </w:rPr>
              <w:t>5</w:t>
            </w:r>
          </w:p>
        </w:tc>
        <w:tc>
          <w:tcPr>
            <w:tcW w:w="2453" w:type="dxa"/>
            <w:vAlign w:val="center"/>
          </w:tcPr>
          <w:p>
            <w:pPr>
              <w:widowControl/>
              <w:spacing w:line="300" w:lineRule="atLeast"/>
              <w:jc w:val="center"/>
              <w:rPr>
                <w:rFonts w:hint="eastAsia" w:ascii="宋体" w:hAnsi="宋体"/>
                <w:szCs w:val="21"/>
              </w:rPr>
            </w:pPr>
            <w:r>
              <w:rPr>
                <w:rFonts w:ascii="宋体" w:hAnsi="宋体" w:cs="仿宋"/>
                <w:szCs w:val="21"/>
              </w:rPr>
              <w:t>拟安排的项目团队成员（项目负责人除外）情况</w:t>
            </w:r>
          </w:p>
        </w:tc>
        <w:tc>
          <w:tcPr>
            <w:tcW w:w="650" w:type="dxa"/>
            <w:vAlign w:val="center"/>
          </w:tcPr>
          <w:p>
            <w:pPr>
              <w:widowControl/>
              <w:spacing w:line="300" w:lineRule="atLeast"/>
              <w:jc w:val="center"/>
              <w:rPr>
                <w:rFonts w:hint="eastAsia" w:ascii="宋体" w:hAnsi="宋体" w:eastAsia="宋体"/>
                <w:szCs w:val="21"/>
                <w:lang w:eastAsia="zh-CN"/>
              </w:rPr>
            </w:pPr>
            <w:r>
              <w:rPr>
                <w:rFonts w:ascii="宋体" w:hAnsi="宋体" w:cs="仿宋"/>
                <w:szCs w:val="21"/>
              </w:rPr>
              <w:t>1</w:t>
            </w:r>
            <w:r>
              <w:rPr>
                <w:rFonts w:hint="eastAsia" w:ascii="宋体" w:hAnsi="宋体" w:cs="仿宋"/>
                <w:szCs w:val="21"/>
                <w:lang w:val="en-US" w:eastAsia="zh-CN"/>
              </w:rPr>
              <w:t>5</w:t>
            </w:r>
          </w:p>
        </w:tc>
        <w:tc>
          <w:tcPr>
            <w:tcW w:w="1110" w:type="dxa"/>
            <w:vAlign w:val="center"/>
          </w:tcPr>
          <w:p>
            <w:pPr>
              <w:jc w:val="center"/>
              <w:rPr>
                <w:rFonts w:hint="eastAsia" w:ascii="宋体" w:hAnsi="宋体"/>
                <w:szCs w:val="21"/>
              </w:rPr>
            </w:pPr>
            <w:r>
              <w:rPr>
                <w:rFonts w:hint="eastAsia" w:ascii="宋体" w:hAnsi="宋体" w:cs="仿宋"/>
                <w:szCs w:val="21"/>
              </w:rPr>
              <w:t>专家打分</w:t>
            </w:r>
          </w:p>
        </w:tc>
        <w:tc>
          <w:tcPr>
            <w:tcW w:w="3600" w:type="dxa"/>
            <w:vAlign w:val="center"/>
          </w:tcPr>
          <w:p>
            <w:pPr>
              <w:widowControl w:val="0"/>
              <w:snapToGrid w:val="0"/>
              <w:spacing w:line="360" w:lineRule="auto"/>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eastAsia="宋体" w:cs="宋体"/>
                <w:color w:val="auto"/>
                <w:szCs w:val="21"/>
              </w:rPr>
              <w:t>拟投入组成员（不含负责人）项取得高级</w:t>
            </w:r>
            <w:r>
              <w:rPr>
                <w:rFonts w:hint="eastAsia" w:ascii="宋体" w:hAnsi="宋体" w:eastAsia="宋体" w:cs="宋体"/>
                <w:color w:val="auto"/>
                <w:szCs w:val="21"/>
                <w:lang w:eastAsia="zh-CN"/>
              </w:rPr>
              <w:t>及以上</w:t>
            </w:r>
            <w:r>
              <w:rPr>
                <w:rFonts w:hint="eastAsia" w:ascii="宋体" w:hAnsi="宋体" w:eastAsia="宋体" w:cs="宋体"/>
                <w:color w:val="auto"/>
                <w:szCs w:val="21"/>
              </w:rPr>
              <w:t>职称的每人得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rPr>
              <w:t>最高</w:t>
            </w:r>
            <w:r>
              <w:rPr>
                <w:rFonts w:hint="eastAsia" w:ascii="宋体" w:hAnsi="宋体" w:eastAsia="宋体" w:cs="宋体"/>
                <w:color w:val="auto"/>
                <w:szCs w:val="21"/>
                <w:lang w:val="en-US" w:eastAsia="zh-CN"/>
              </w:rPr>
              <w:t>4</w:t>
            </w:r>
            <w:r>
              <w:rPr>
                <w:rFonts w:hint="eastAsia" w:ascii="宋体" w:hAnsi="宋体" w:eastAsia="宋体" w:cs="宋体"/>
                <w:color w:val="auto"/>
                <w:szCs w:val="21"/>
              </w:rPr>
              <w:t xml:space="preserve">分 </w:t>
            </w:r>
          </w:p>
          <w:p>
            <w:pPr>
              <w:widowControl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（2）拟投入项目组成员（不含负责人）取得具有中华人民共和国造价工程师注册证书的每人得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rPr>
              <w:t>最高</w:t>
            </w:r>
            <w:r>
              <w:rPr>
                <w:rFonts w:hint="eastAsia" w:ascii="宋体" w:hAnsi="宋体" w:eastAsia="宋体" w:cs="宋体"/>
                <w:color w:val="auto"/>
                <w:szCs w:val="21"/>
                <w:lang w:val="en-US" w:eastAsia="zh-CN"/>
              </w:rPr>
              <w:t>6</w:t>
            </w:r>
            <w:r>
              <w:rPr>
                <w:rFonts w:hint="eastAsia" w:ascii="宋体" w:hAnsi="宋体" w:eastAsia="宋体" w:cs="宋体"/>
                <w:color w:val="auto"/>
                <w:szCs w:val="21"/>
              </w:rPr>
              <w:t xml:space="preserve">分 </w:t>
            </w:r>
          </w:p>
          <w:p>
            <w:pPr>
              <w:widowControl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rPr>
              <w:t>）拟投入项目组成员（不含负责人）每有1人具有硕士及以上学历的，得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rPr>
              <w:t>最高</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p>
            <w:pPr>
              <w:widowControl w:val="0"/>
              <w:snapToGrid w:val="0"/>
              <w:spacing w:line="360" w:lineRule="auto"/>
              <w:rPr>
                <w:rFonts w:hint="eastAsia" w:ascii="宋体" w:hAnsi="宋体"/>
                <w:color w:val="auto"/>
                <w:szCs w:val="24"/>
              </w:rPr>
            </w:pPr>
            <w:r>
              <w:rPr>
                <w:rFonts w:hint="eastAsia" w:ascii="宋体" w:hAnsi="宋体" w:eastAsia="宋体" w:cs="宋体"/>
                <w:color w:val="auto"/>
                <w:szCs w:val="21"/>
              </w:rPr>
              <w:t>同一人员同时满足多项要求不得重复得分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3</w:t>
            </w:r>
          </w:p>
        </w:tc>
        <w:tc>
          <w:tcPr>
            <w:tcW w:w="3804" w:type="dxa"/>
            <w:gridSpan w:val="3"/>
          </w:tcPr>
          <w:p>
            <w:pPr>
              <w:jc w:val="center"/>
              <w:rPr>
                <w:rFonts w:ascii="宋体" w:hAnsi="宋体" w:cs="仿宋"/>
                <w:sz w:val="22"/>
                <w:szCs w:val="22"/>
              </w:rPr>
            </w:pPr>
            <w:r>
              <w:rPr>
                <w:rFonts w:hint="eastAsia" w:ascii="宋体" w:hAnsi="宋体"/>
                <w:b/>
                <w:szCs w:val="21"/>
              </w:rPr>
              <w:t>商务部分</w:t>
            </w:r>
          </w:p>
        </w:tc>
        <w:tc>
          <w:tcPr>
            <w:tcW w:w="4710" w:type="dxa"/>
            <w:gridSpan w:val="2"/>
          </w:tcPr>
          <w:p>
            <w:pPr>
              <w:jc w:val="center"/>
              <w:rPr>
                <w:rFonts w:hint="default" w:eastAsia="宋体"/>
                <w:bCs/>
                <w:sz w:val="22"/>
                <w:szCs w:val="22"/>
                <w:lang w:val="en-US" w:eastAsia="zh-CN"/>
              </w:rPr>
            </w:pPr>
            <w:r>
              <w:rPr>
                <w:rFonts w:hint="eastAsia" w:ascii="宋体" w:hAnsi="宋体"/>
                <w:b/>
                <w:sz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tcPr>
          <w:p>
            <w:pPr>
              <w:jc w:val="center"/>
              <w:rPr>
                <w:rFonts w:ascii="宋体" w:hAnsi="宋体" w:cs="仿宋"/>
                <w:sz w:val="20"/>
              </w:rPr>
            </w:pPr>
            <w:r>
              <w:rPr>
                <w:rFonts w:hint="eastAsia" w:ascii="宋体" w:hAnsi="宋体"/>
                <w:sz w:val="20"/>
              </w:rPr>
              <w:t>序号</w:t>
            </w:r>
          </w:p>
        </w:tc>
        <w:tc>
          <w:tcPr>
            <w:tcW w:w="2453" w:type="dxa"/>
          </w:tcPr>
          <w:p>
            <w:pPr>
              <w:jc w:val="center"/>
              <w:rPr>
                <w:bCs/>
                <w:sz w:val="22"/>
                <w:szCs w:val="22"/>
              </w:rPr>
            </w:pPr>
            <w:r>
              <w:rPr>
                <w:rFonts w:hint="eastAsia" w:ascii="宋体" w:hAnsi="宋体"/>
                <w:sz w:val="20"/>
              </w:rPr>
              <w:t>评分因素</w:t>
            </w:r>
          </w:p>
        </w:tc>
        <w:tc>
          <w:tcPr>
            <w:tcW w:w="650" w:type="dxa"/>
          </w:tcPr>
          <w:p>
            <w:pPr>
              <w:jc w:val="center"/>
              <w:rPr>
                <w:rFonts w:ascii="宋体" w:hAnsi="宋体" w:cs="仿宋"/>
                <w:sz w:val="22"/>
                <w:szCs w:val="22"/>
              </w:rPr>
            </w:pPr>
            <w:r>
              <w:rPr>
                <w:rFonts w:hint="eastAsia" w:ascii="宋体" w:hAnsi="宋体"/>
                <w:sz w:val="20"/>
              </w:rPr>
              <w:t>权重</w:t>
            </w:r>
          </w:p>
        </w:tc>
        <w:tc>
          <w:tcPr>
            <w:tcW w:w="1110" w:type="dxa"/>
          </w:tcPr>
          <w:p>
            <w:pPr>
              <w:jc w:val="center"/>
              <w:rPr>
                <w:rFonts w:ascii="宋体" w:hAnsi="宋体" w:cs="仿宋"/>
                <w:sz w:val="22"/>
                <w:szCs w:val="22"/>
              </w:rPr>
            </w:pPr>
            <w:r>
              <w:rPr>
                <w:rFonts w:hint="eastAsia" w:ascii="宋体" w:hAnsi="宋体"/>
                <w:sz w:val="20"/>
              </w:rPr>
              <w:t>评分方式</w:t>
            </w:r>
          </w:p>
        </w:tc>
        <w:tc>
          <w:tcPr>
            <w:tcW w:w="3600" w:type="dxa"/>
          </w:tcPr>
          <w:p>
            <w:pPr>
              <w:jc w:val="center"/>
              <w:rPr>
                <w:bCs/>
                <w:sz w:val="22"/>
                <w:szCs w:val="22"/>
              </w:rPr>
            </w:pPr>
            <w:r>
              <w:rPr>
                <w:rFonts w:hint="eastAsia" w:ascii="宋体" w:hAnsi="宋体"/>
                <w:sz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cs="仿宋"/>
                <w:sz w:val="20"/>
              </w:rPr>
            </w:pPr>
            <w:r>
              <w:rPr>
                <w:rFonts w:hint="eastAsia" w:ascii="宋体" w:hAnsi="宋体"/>
                <w:szCs w:val="21"/>
              </w:rPr>
              <w:t>1</w:t>
            </w:r>
          </w:p>
        </w:tc>
        <w:tc>
          <w:tcPr>
            <w:tcW w:w="2453" w:type="dxa"/>
            <w:vAlign w:val="center"/>
          </w:tcPr>
          <w:p>
            <w:pPr>
              <w:widowControl/>
              <w:spacing w:line="120" w:lineRule="atLeast"/>
              <w:jc w:val="left"/>
              <w:rPr>
                <w:bCs/>
                <w:sz w:val="22"/>
                <w:szCs w:val="22"/>
              </w:rPr>
            </w:pPr>
            <w:r>
              <w:rPr>
                <w:rFonts w:ascii="宋体" w:hAnsi="宋体"/>
                <w:szCs w:val="21"/>
              </w:rPr>
              <w:t>投标人同类项目业绩情况</w:t>
            </w:r>
          </w:p>
        </w:tc>
        <w:tc>
          <w:tcPr>
            <w:tcW w:w="650" w:type="dxa"/>
            <w:vAlign w:val="center"/>
          </w:tcPr>
          <w:p>
            <w:pPr>
              <w:widowControl/>
              <w:spacing w:line="120" w:lineRule="atLeast"/>
              <w:jc w:val="center"/>
              <w:rPr>
                <w:rFonts w:hint="default" w:ascii="宋体" w:hAnsi="宋体" w:cs="仿宋"/>
                <w:sz w:val="22"/>
                <w:szCs w:val="22"/>
                <w:lang w:val="en-US"/>
              </w:rPr>
            </w:pPr>
            <w:r>
              <w:rPr>
                <w:rFonts w:hint="eastAsia" w:ascii="宋体" w:hAnsi="宋体"/>
                <w:szCs w:val="21"/>
                <w:lang w:val="en-US" w:eastAsia="zh-CN"/>
              </w:rPr>
              <w:t>10</w:t>
            </w:r>
          </w:p>
        </w:tc>
        <w:tc>
          <w:tcPr>
            <w:tcW w:w="1110" w:type="dxa"/>
            <w:vAlign w:val="center"/>
          </w:tcPr>
          <w:p>
            <w:pPr>
              <w:jc w:val="center"/>
              <w:rPr>
                <w:rFonts w:ascii="宋体" w:hAnsi="宋体" w:cs="仿宋"/>
                <w:sz w:val="22"/>
                <w:szCs w:val="22"/>
              </w:rPr>
            </w:pPr>
            <w:r>
              <w:rPr>
                <w:rFonts w:hint="eastAsia" w:ascii="宋体" w:hAnsi="宋体"/>
                <w:szCs w:val="21"/>
              </w:rPr>
              <w:t>专家打分</w:t>
            </w:r>
          </w:p>
        </w:tc>
        <w:tc>
          <w:tcPr>
            <w:tcW w:w="3600" w:type="dxa"/>
            <w:vAlign w:val="center"/>
          </w:tcPr>
          <w:p>
            <w:pPr>
              <w:widowControl/>
              <w:spacing w:line="120" w:lineRule="atLeast"/>
              <w:jc w:val="left"/>
              <w:rPr>
                <w:bCs/>
                <w:color w:val="000000" w:themeColor="text1"/>
                <w:sz w:val="22"/>
                <w:szCs w:val="22"/>
                <w14:textFill>
                  <w14:solidFill>
                    <w14:schemeClr w14:val="tx1"/>
                  </w14:solidFill>
                </w14:textFill>
              </w:rPr>
            </w:pPr>
            <w:r>
              <w:rPr>
                <w:rFonts w:ascii="宋体" w:hAnsi="宋体"/>
                <w:color w:val="auto"/>
                <w:szCs w:val="21"/>
              </w:rPr>
              <w:t>投标人近三年（20</w:t>
            </w:r>
            <w:r>
              <w:rPr>
                <w:rFonts w:hint="eastAsia" w:ascii="宋体" w:hAnsi="宋体"/>
                <w:color w:val="auto"/>
                <w:szCs w:val="21"/>
                <w:lang w:val="en-US" w:eastAsia="zh-CN"/>
              </w:rPr>
              <w:t>20</w:t>
            </w:r>
            <w:r>
              <w:rPr>
                <w:rFonts w:ascii="宋体" w:hAnsi="宋体"/>
                <w:color w:val="auto"/>
                <w:szCs w:val="21"/>
              </w:rPr>
              <w:t>年</w:t>
            </w:r>
            <w:r>
              <w:rPr>
                <w:rFonts w:hint="eastAsia" w:ascii="宋体" w:hAnsi="宋体"/>
                <w:color w:val="auto"/>
                <w:szCs w:val="21"/>
                <w:lang w:val="en-US" w:eastAsia="zh-CN"/>
              </w:rPr>
              <w:t>7月</w:t>
            </w:r>
            <w:r>
              <w:rPr>
                <w:rFonts w:ascii="宋体" w:hAnsi="宋体"/>
                <w:color w:val="auto"/>
                <w:szCs w:val="21"/>
              </w:rPr>
              <w:t>至今）同类业绩，</w:t>
            </w:r>
            <w:r>
              <w:rPr>
                <w:rFonts w:hint="eastAsia" w:ascii="Times New Roman" w:hAnsi="Times New Roman" w:eastAsia="宋体" w:cs="Times New Roman"/>
                <w:color w:val="auto"/>
              </w:rPr>
              <w:t>以</w:t>
            </w:r>
            <w:r>
              <w:rPr>
                <w:rFonts w:hint="eastAsia" w:cs="Times New Roman"/>
                <w:color w:val="auto"/>
                <w:lang w:eastAsia="zh-CN"/>
              </w:rPr>
              <w:t>合同、验收报告或履约评价最后</w:t>
            </w:r>
            <w:r>
              <w:rPr>
                <w:rFonts w:hint="eastAsia" w:ascii="Times New Roman" w:hAnsi="Times New Roman" w:eastAsia="宋体" w:cs="Times New Roman"/>
                <w:color w:val="auto"/>
              </w:rPr>
              <w:t>日期为准）每提供一项</w:t>
            </w:r>
            <w:r>
              <w:rPr>
                <w:rFonts w:hint="eastAsia" w:ascii="Times New Roman" w:hAnsi="Times New Roman" w:eastAsia="宋体" w:cs="Times New Roman"/>
                <w:color w:val="auto"/>
                <w:lang w:eastAsia="zh-CN"/>
              </w:rPr>
              <w:t>医院</w:t>
            </w:r>
            <w:r>
              <w:rPr>
                <w:rFonts w:hint="eastAsia" w:ascii="Times New Roman" w:hAnsi="Times New Roman" w:eastAsia="宋体" w:cs="Times New Roman"/>
                <w:color w:val="auto"/>
              </w:rPr>
              <w:t>同类项目业绩（</w:t>
            </w:r>
            <w:r>
              <w:rPr>
                <w:rFonts w:hint="eastAsia" w:ascii="Times New Roman" w:hAnsi="Times New Roman" w:eastAsia="宋体" w:cs="Times New Roman"/>
                <w:color w:val="auto"/>
                <w:lang w:eastAsia="zh-CN"/>
              </w:rPr>
              <w:t>医疗设备可行性研究报告</w:t>
            </w:r>
            <w:r>
              <w:rPr>
                <w:rFonts w:hint="eastAsia" w:ascii="Times New Roman" w:hAnsi="Times New Roman" w:eastAsia="宋体" w:cs="Times New Roman"/>
                <w:color w:val="auto"/>
              </w:rPr>
              <w:t>、</w:t>
            </w:r>
            <w:r>
              <w:rPr>
                <w:rFonts w:hint="eastAsia" w:ascii="Times New Roman" w:hAnsi="Times New Roman" w:eastAsia="宋体" w:cs="Times New Roman"/>
                <w:color w:val="auto"/>
                <w:lang w:eastAsia="zh-CN"/>
              </w:rPr>
              <w:t>概算、资金申请报告</w:t>
            </w:r>
            <w:r>
              <w:rPr>
                <w:rFonts w:hint="eastAsia" w:ascii="Times New Roman" w:hAnsi="Times New Roman" w:eastAsia="宋体" w:cs="Times New Roman"/>
                <w:color w:val="auto"/>
              </w:rPr>
              <w:t>）的得</w:t>
            </w:r>
            <w:r>
              <w:rPr>
                <w:rFonts w:hint="eastAsia" w:cs="Times New Roman"/>
                <w:color w:val="auto"/>
                <w:lang w:val="en-US" w:eastAsia="zh-CN"/>
              </w:rPr>
              <w:t>2</w:t>
            </w:r>
            <w:r>
              <w:rPr>
                <w:rFonts w:hint="eastAsia" w:ascii="Times New Roman" w:hAnsi="Times New Roman" w:eastAsia="宋体" w:cs="Times New Roman"/>
                <w:color w:val="auto"/>
              </w:rPr>
              <w:t>分，</w:t>
            </w:r>
            <w:r>
              <w:rPr>
                <w:rFonts w:hint="eastAsia" w:ascii="Times New Roman" w:hAnsi="Times New Roman" w:eastAsia="宋体" w:cs="Times New Roman"/>
                <w:color w:val="auto"/>
                <w:lang w:eastAsia="zh-CN"/>
              </w:rPr>
              <w:t>最高共</w:t>
            </w:r>
            <w:r>
              <w:rPr>
                <w:rFonts w:hint="eastAsia" w:cs="Times New Roman"/>
                <w:color w:val="auto"/>
                <w:lang w:val="en-US" w:eastAsia="zh-CN"/>
              </w:rPr>
              <w:t>10</w:t>
            </w:r>
            <w:r>
              <w:rPr>
                <w:rFonts w:hint="eastAsia" w:ascii="Times New Roman" w:hAnsi="Times New Roman" w:eastAsia="宋体" w:cs="Times New Roman"/>
                <w:color w:val="auto"/>
                <w:lang w:val="en-US" w:eastAsia="zh-CN"/>
              </w:rPr>
              <w:t>分</w:t>
            </w:r>
            <w:r>
              <w:rPr>
                <w:rFonts w:hint="eastAsia" w:ascii="Times New Roman" w:hAnsi="Times New Roman" w:cs="Times New Roman"/>
                <w:color w:val="auto"/>
                <w:lang w:val="en-US" w:eastAsia="zh-CN"/>
              </w:rPr>
              <w:t>，</w:t>
            </w:r>
            <w:r>
              <w:rPr>
                <w:rFonts w:ascii="宋体" w:hAnsi="宋体"/>
                <w:color w:val="auto"/>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Cs w:val="21"/>
              </w:rPr>
            </w:pPr>
            <w:r>
              <w:rPr>
                <w:rFonts w:hint="eastAsia" w:ascii="宋体" w:hAnsi="宋体"/>
                <w:szCs w:val="21"/>
              </w:rPr>
              <w:t>2</w:t>
            </w:r>
          </w:p>
        </w:tc>
        <w:tc>
          <w:tcPr>
            <w:tcW w:w="2453" w:type="dxa"/>
            <w:vAlign w:val="center"/>
          </w:tcPr>
          <w:p>
            <w:pPr>
              <w:widowControl/>
              <w:spacing w:line="120" w:lineRule="atLeast"/>
              <w:jc w:val="left"/>
            </w:pPr>
            <w:r>
              <w:rPr>
                <w:rFonts w:ascii="宋体" w:hAnsi="宋体"/>
                <w:szCs w:val="21"/>
              </w:rPr>
              <w:t>投标人</w:t>
            </w:r>
            <w:r>
              <w:rPr>
                <w:rFonts w:hint="eastAsia" w:ascii="宋体" w:hAnsi="宋体"/>
                <w:szCs w:val="21"/>
                <w:lang w:eastAsia="zh-CN"/>
              </w:rPr>
              <w:t>资质及</w:t>
            </w:r>
            <w:r>
              <w:rPr>
                <w:rFonts w:ascii="宋体" w:hAnsi="宋体"/>
                <w:szCs w:val="21"/>
              </w:rPr>
              <w:t>获奖（荣誉）情况</w:t>
            </w:r>
          </w:p>
        </w:tc>
        <w:tc>
          <w:tcPr>
            <w:tcW w:w="650" w:type="dxa"/>
            <w:vAlign w:val="center"/>
          </w:tcPr>
          <w:p>
            <w:pPr>
              <w:widowControl/>
              <w:spacing w:line="120" w:lineRule="atLeast"/>
              <w:jc w:val="center"/>
              <w:rPr>
                <w:rFonts w:ascii="宋体" w:hAnsi="宋体" w:cs="仿宋"/>
                <w:szCs w:val="21"/>
              </w:rPr>
            </w:pPr>
            <w:r>
              <w:rPr>
                <w:rFonts w:hint="eastAsia" w:ascii="宋体" w:hAnsi="宋体"/>
                <w:szCs w:val="21"/>
                <w:lang w:val="en-US" w:eastAsia="zh-CN"/>
              </w:rPr>
              <w:t>5</w:t>
            </w:r>
          </w:p>
        </w:tc>
        <w:tc>
          <w:tcPr>
            <w:tcW w:w="1110" w:type="dxa"/>
            <w:vAlign w:val="center"/>
          </w:tcPr>
          <w:p>
            <w:pPr>
              <w:jc w:val="center"/>
              <w:rPr>
                <w:rFonts w:ascii="宋体" w:hAnsi="宋体" w:cs="仿宋"/>
                <w:szCs w:val="21"/>
              </w:rPr>
            </w:pPr>
            <w:r>
              <w:rPr>
                <w:rFonts w:hint="eastAsia" w:ascii="宋体" w:hAnsi="宋体"/>
                <w:szCs w:val="21"/>
              </w:rPr>
              <w:t>专家打分</w:t>
            </w:r>
          </w:p>
        </w:tc>
        <w:tc>
          <w:tcPr>
            <w:tcW w:w="3600" w:type="dxa"/>
            <w:vAlign w:val="center"/>
          </w:tcPr>
          <w:p>
            <w:pPr>
              <w:widowControl/>
              <w:spacing w:line="240" w:lineRule="auto"/>
              <w:jc w:val="left"/>
              <w:rPr>
                <w:color w:val="000000" w:themeColor="text1"/>
                <w14:textFill>
                  <w14:solidFill>
                    <w14:schemeClr w14:val="tx1"/>
                  </w14:solidFill>
                </w14:textFill>
              </w:rPr>
            </w:pPr>
            <w:r>
              <w:rPr>
                <w:rFonts w:hint="eastAsia" w:ascii="Times New Roman" w:hAnsi="Times New Roman" w:eastAsia="宋体" w:cs="Times New Roman"/>
                <w:color w:val="auto"/>
              </w:rPr>
              <w:t>请提供</w:t>
            </w:r>
            <w:r>
              <w:rPr>
                <w:rFonts w:ascii="宋体" w:hAnsi="宋体"/>
                <w:color w:val="auto"/>
                <w:szCs w:val="21"/>
              </w:rPr>
              <w:t>近三年（20</w:t>
            </w:r>
            <w:r>
              <w:rPr>
                <w:rFonts w:hint="eastAsia" w:ascii="宋体" w:hAnsi="宋体"/>
                <w:color w:val="auto"/>
                <w:szCs w:val="21"/>
                <w:lang w:val="en-US" w:eastAsia="zh-CN"/>
              </w:rPr>
              <w:t>20</w:t>
            </w:r>
            <w:r>
              <w:rPr>
                <w:rFonts w:ascii="宋体" w:hAnsi="宋体"/>
                <w:color w:val="auto"/>
                <w:szCs w:val="21"/>
              </w:rPr>
              <w:t>年</w:t>
            </w:r>
            <w:r>
              <w:rPr>
                <w:rFonts w:hint="eastAsia" w:ascii="宋体" w:hAnsi="宋体"/>
                <w:color w:val="auto"/>
                <w:szCs w:val="21"/>
                <w:lang w:val="en-US" w:eastAsia="zh-CN"/>
              </w:rPr>
              <w:t>7月</w:t>
            </w:r>
            <w:r>
              <w:rPr>
                <w:rFonts w:ascii="宋体" w:hAnsi="宋体"/>
                <w:color w:val="auto"/>
                <w:szCs w:val="21"/>
              </w:rPr>
              <w:t>至今）</w:t>
            </w:r>
            <w:r>
              <w:rPr>
                <w:rFonts w:hint="eastAsia" w:ascii="宋体" w:hAnsi="宋体"/>
                <w:color w:val="auto"/>
                <w:szCs w:val="21"/>
                <w:lang w:eastAsia="zh-CN"/>
              </w:rPr>
              <w:t>咨询成果获</w:t>
            </w:r>
            <w:r>
              <w:rPr>
                <w:rFonts w:hint="eastAsia" w:ascii="Times New Roman" w:hAnsi="Times New Roman" w:eastAsia="宋体" w:cs="Times New Roman"/>
                <w:color w:val="auto"/>
              </w:rPr>
              <w:t>奖证明扫描件，原件备查。</w:t>
            </w:r>
            <w:r>
              <w:rPr>
                <w:rFonts w:hint="eastAsia" w:ascii="Times New Roman" w:hAnsi="Times New Roman" w:eastAsia="宋体" w:cs="Times New Roman"/>
                <w:color w:val="auto"/>
                <w:lang w:eastAsia="zh-CN"/>
              </w:rPr>
              <w:t>提供一项</w:t>
            </w:r>
            <w:r>
              <w:rPr>
                <w:rFonts w:hint="eastAsia" w:ascii="Times New Roman" w:hAnsi="Times New Roman" w:eastAsia="宋体" w:cs="Times New Roman"/>
                <w:color w:val="auto"/>
              </w:rPr>
              <w:t>奖励证明得</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分，</w:t>
            </w:r>
            <w:r>
              <w:rPr>
                <w:rFonts w:hint="eastAsia" w:ascii="Times New Roman" w:hAnsi="Times New Roman" w:eastAsia="宋体" w:cs="Times New Roman"/>
                <w:color w:val="auto"/>
                <w:lang w:eastAsia="zh-CN"/>
              </w:rPr>
              <w:t>最高共</w:t>
            </w:r>
            <w:r>
              <w:rPr>
                <w:rFonts w:hint="eastAsia" w:cs="Times New Roman"/>
                <w:color w:val="auto"/>
                <w:lang w:val="en-US" w:eastAsia="zh-CN"/>
              </w:rPr>
              <w:t>5</w:t>
            </w:r>
            <w:r>
              <w:rPr>
                <w:rFonts w:hint="eastAsia" w:ascii="Times New Roman" w:hAnsi="Times New Roman" w:eastAsia="宋体" w:cs="Times New Roman"/>
                <w:color w:val="auto"/>
                <w:lang w:val="en-US" w:eastAsia="zh-CN"/>
              </w:rPr>
              <w:t>分；</w:t>
            </w:r>
            <w:r>
              <w:rPr>
                <w:rFonts w:hint="eastAsia" w:ascii="Times New Roman" w:hAnsi="Times New Roman" w:eastAsia="宋体" w:cs="Times New Roman"/>
                <w:color w:val="auto"/>
              </w:rPr>
              <w:t>，未提供的不得分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Cs w:val="21"/>
              </w:rPr>
            </w:pPr>
            <w:r>
              <w:rPr>
                <w:rFonts w:hint="eastAsia" w:ascii="宋体" w:hAnsi="宋体"/>
                <w:szCs w:val="21"/>
              </w:rPr>
              <w:t>3</w:t>
            </w:r>
          </w:p>
        </w:tc>
        <w:tc>
          <w:tcPr>
            <w:tcW w:w="2453" w:type="dxa"/>
            <w:vAlign w:val="center"/>
          </w:tcPr>
          <w:p>
            <w:pPr>
              <w:widowControl/>
              <w:spacing w:line="120" w:lineRule="atLeast"/>
              <w:jc w:val="left"/>
            </w:pPr>
            <w:r>
              <w:rPr>
                <w:rFonts w:ascii="宋体" w:hAnsi="宋体"/>
                <w:szCs w:val="21"/>
              </w:rPr>
              <w:t>服务网点（场地）</w:t>
            </w:r>
          </w:p>
        </w:tc>
        <w:tc>
          <w:tcPr>
            <w:tcW w:w="650" w:type="dxa"/>
            <w:vAlign w:val="center"/>
          </w:tcPr>
          <w:p>
            <w:pPr>
              <w:widowControl/>
              <w:spacing w:line="120" w:lineRule="atLeast"/>
              <w:jc w:val="center"/>
              <w:rPr>
                <w:rFonts w:hint="eastAsia" w:ascii="宋体" w:hAnsi="宋体" w:eastAsia="宋体" w:cs="仿宋"/>
                <w:szCs w:val="21"/>
                <w:lang w:val="en-US" w:eastAsia="zh-CN"/>
              </w:rPr>
            </w:pPr>
            <w:r>
              <w:rPr>
                <w:rFonts w:hint="eastAsia" w:ascii="宋体" w:hAnsi="宋体"/>
                <w:szCs w:val="21"/>
                <w:lang w:val="en-US" w:eastAsia="zh-CN"/>
              </w:rPr>
              <w:t>3</w:t>
            </w:r>
          </w:p>
        </w:tc>
        <w:tc>
          <w:tcPr>
            <w:tcW w:w="1110" w:type="dxa"/>
            <w:vAlign w:val="center"/>
          </w:tcPr>
          <w:p>
            <w:pPr>
              <w:jc w:val="center"/>
              <w:rPr>
                <w:rFonts w:ascii="宋体" w:hAnsi="宋体" w:cs="仿宋"/>
                <w:szCs w:val="21"/>
              </w:rPr>
            </w:pPr>
            <w:r>
              <w:rPr>
                <w:rFonts w:hint="eastAsia" w:ascii="宋体" w:hAnsi="宋体"/>
                <w:szCs w:val="21"/>
              </w:rPr>
              <w:t>专家打分</w:t>
            </w:r>
          </w:p>
        </w:tc>
        <w:tc>
          <w:tcPr>
            <w:tcW w:w="3600" w:type="dxa"/>
            <w:vAlign w:val="center"/>
          </w:tcPr>
          <w:p>
            <w:pPr>
              <w:widowControl/>
              <w:spacing w:line="300" w:lineRule="atLeast"/>
              <w:jc w:val="left"/>
              <w:rPr>
                <w:rFonts w:ascii="宋体" w:hAnsi="宋体"/>
                <w:szCs w:val="21"/>
              </w:rPr>
            </w:pPr>
            <w:r>
              <w:rPr>
                <w:rFonts w:ascii="宋体" w:hAnsi="宋体"/>
                <w:szCs w:val="21"/>
              </w:rPr>
              <w:t>具有广东省内服务网点得</w:t>
            </w:r>
            <w:r>
              <w:rPr>
                <w:rFonts w:hint="eastAsia" w:ascii="宋体" w:hAnsi="宋体"/>
                <w:szCs w:val="21"/>
                <w:lang w:val="en-US" w:eastAsia="zh-CN"/>
              </w:rPr>
              <w:t>3</w:t>
            </w:r>
            <w:r>
              <w:rPr>
                <w:rFonts w:ascii="宋体" w:hAnsi="宋体"/>
                <w:szCs w:val="21"/>
              </w:rPr>
              <w:t>分，没有不得分。</w:t>
            </w:r>
          </w:p>
          <w:p>
            <w:pPr>
              <w:widowControl/>
              <w:spacing w:line="300" w:lineRule="atLeast"/>
              <w:jc w:val="left"/>
            </w:pPr>
            <w:r>
              <w:rPr>
                <w:rFonts w:ascii="宋体" w:hAnsi="宋体"/>
                <w:szCs w:val="21"/>
              </w:rPr>
              <w:t>（提供正在服务期内的网点</w:t>
            </w:r>
            <w:r>
              <w:rPr>
                <w:rFonts w:hint="eastAsia" w:ascii="宋体" w:hAnsi="宋体"/>
                <w:szCs w:val="21"/>
                <w:lang w:eastAsia="zh-CN"/>
              </w:rPr>
              <w:t>注册证明或网点合同复印件。</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 w:val="20"/>
              </w:rPr>
            </w:pPr>
            <w:r>
              <w:rPr>
                <w:rFonts w:hint="eastAsia" w:ascii="宋体" w:hAnsi="宋体"/>
                <w:szCs w:val="21"/>
              </w:rPr>
              <w:t>4</w:t>
            </w:r>
          </w:p>
        </w:tc>
        <w:tc>
          <w:tcPr>
            <w:tcW w:w="2453" w:type="dxa"/>
            <w:vAlign w:val="center"/>
          </w:tcPr>
          <w:p>
            <w:pPr>
              <w:widowControl/>
              <w:spacing w:line="120" w:lineRule="atLeast"/>
              <w:jc w:val="left"/>
              <w:rPr>
                <w:rFonts w:ascii="宋体" w:hAnsi="宋体"/>
                <w:sz w:val="20"/>
              </w:rPr>
            </w:pPr>
            <w:r>
              <w:rPr>
                <w:rFonts w:ascii="宋体" w:hAnsi="宋体"/>
                <w:szCs w:val="21"/>
              </w:rPr>
              <w:t>项目完成（服务期满）后的服务承诺</w:t>
            </w:r>
          </w:p>
        </w:tc>
        <w:tc>
          <w:tcPr>
            <w:tcW w:w="650" w:type="dxa"/>
            <w:vAlign w:val="center"/>
          </w:tcPr>
          <w:p>
            <w:pPr>
              <w:widowControl/>
              <w:spacing w:line="120" w:lineRule="atLeast"/>
              <w:jc w:val="center"/>
              <w:rPr>
                <w:rFonts w:hint="eastAsia" w:ascii="宋体" w:hAnsi="宋体" w:eastAsia="宋体"/>
                <w:sz w:val="20"/>
                <w:lang w:val="en-US" w:eastAsia="zh-CN"/>
              </w:rPr>
            </w:pPr>
            <w:r>
              <w:rPr>
                <w:rFonts w:hint="eastAsia" w:ascii="宋体" w:hAnsi="宋体"/>
                <w:szCs w:val="21"/>
                <w:lang w:val="en-US" w:eastAsia="zh-CN"/>
              </w:rPr>
              <w:t>3</w:t>
            </w:r>
          </w:p>
        </w:tc>
        <w:tc>
          <w:tcPr>
            <w:tcW w:w="1110" w:type="dxa"/>
            <w:vAlign w:val="center"/>
          </w:tcPr>
          <w:p>
            <w:pPr>
              <w:jc w:val="center"/>
              <w:rPr>
                <w:rFonts w:ascii="宋体" w:hAnsi="宋体"/>
                <w:sz w:val="20"/>
              </w:rPr>
            </w:pPr>
            <w:r>
              <w:rPr>
                <w:rFonts w:hint="eastAsia" w:ascii="宋体" w:hAnsi="宋体"/>
                <w:szCs w:val="21"/>
              </w:rPr>
              <w:t>专家打分</w:t>
            </w:r>
          </w:p>
        </w:tc>
        <w:tc>
          <w:tcPr>
            <w:tcW w:w="3600" w:type="dxa"/>
            <w:vAlign w:val="center"/>
          </w:tcPr>
          <w:p>
            <w:pPr>
              <w:widowControl/>
              <w:spacing w:line="120" w:lineRule="atLeast"/>
              <w:jc w:val="left"/>
              <w:rPr>
                <w:rFonts w:ascii="宋体" w:hAnsi="宋体"/>
                <w:sz w:val="18"/>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w:t>
            </w:r>
            <w:r>
              <w:rPr>
                <w:rFonts w:hint="eastAsia" w:ascii="宋体" w:hAnsi="宋体"/>
                <w:szCs w:val="21"/>
                <w:lang w:eastAsia="zh-CN"/>
              </w:rPr>
              <w:t>一般得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eastAsia="宋体" w:cs="仿宋"/>
                <w:kern w:val="2"/>
                <w:sz w:val="20"/>
                <w:lang w:val="en-US" w:eastAsia="zh-CN" w:bidi="ar-SA"/>
              </w:rPr>
            </w:pPr>
            <w:r>
              <w:rPr>
                <w:rFonts w:hint="eastAsia" w:ascii="宋体" w:hAnsi="宋体"/>
                <w:szCs w:val="21"/>
              </w:rPr>
              <w:t>5</w:t>
            </w:r>
          </w:p>
        </w:tc>
        <w:tc>
          <w:tcPr>
            <w:tcW w:w="2453" w:type="dxa"/>
            <w:vAlign w:val="center"/>
          </w:tcPr>
          <w:p>
            <w:pPr>
              <w:widowControl/>
              <w:spacing w:line="120" w:lineRule="atLeast"/>
              <w:jc w:val="left"/>
              <w:rPr>
                <w:rFonts w:ascii="宋体" w:hAnsi="宋体" w:eastAsia="宋体" w:cs="仿宋"/>
                <w:kern w:val="2"/>
                <w:sz w:val="20"/>
                <w:lang w:val="en-US" w:eastAsia="zh-CN" w:bidi="ar-SA"/>
              </w:rPr>
            </w:pPr>
            <w:r>
              <w:rPr>
                <w:rFonts w:ascii="宋体" w:hAnsi="宋体"/>
                <w:szCs w:val="21"/>
              </w:rPr>
              <w:t>报价合理性</w:t>
            </w:r>
          </w:p>
        </w:tc>
        <w:tc>
          <w:tcPr>
            <w:tcW w:w="650" w:type="dxa"/>
            <w:vAlign w:val="center"/>
          </w:tcPr>
          <w:p>
            <w:pPr>
              <w:widowControl/>
              <w:spacing w:line="120" w:lineRule="atLeast"/>
              <w:jc w:val="center"/>
              <w:rPr>
                <w:rFonts w:hint="eastAsia" w:ascii="宋体" w:hAnsi="宋体" w:eastAsia="宋体" w:cs="仿宋"/>
                <w:kern w:val="2"/>
                <w:sz w:val="20"/>
                <w:lang w:val="en-US" w:eastAsia="zh-CN" w:bidi="ar-SA"/>
              </w:rPr>
            </w:pPr>
            <w:r>
              <w:rPr>
                <w:rFonts w:ascii="宋体" w:hAnsi="宋体"/>
                <w:szCs w:val="21"/>
              </w:rPr>
              <w:t>2</w:t>
            </w:r>
          </w:p>
        </w:tc>
        <w:tc>
          <w:tcPr>
            <w:tcW w:w="1110" w:type="dxa"/>
            <w:vAlign w:val="center"/>
          </w:tcPr>
          <w:p>
            <w:pPr>
              <w:jc w:val="center"/>
              <w:rPr>
                <w:rFonts w:ascii="宋体" w:hAnsi="宋体" w:eastAsia="宋体" w:cs="仿宋"/>
                <w:kern w:val="2"/>
                <w:sz w:val="20"/>
                <w:lang w:val="en-US" w:eastAsia="zh-CN" w:bidi="ar-SA"/>
              </w:rPr>
            </w:pPr>
            <w:r>
              <w:rPr>
                <w:rFonts w:hint="eastAsia" w:ascii="宋体" w:hAnsi="宋体"/>
                <w:szCs w:val="21"/>
              </w:rPr>
              <w:t>专家打分</w:t>
            </w:r>
          </w:p>
        </w:tc>
        <w:tc>
          <w:tcPr>
            <w:tcW w:w="3600" w:type="dxa"/>
            <w:vAlign w:val="center"/>
          </w:tcPr>
          <w:p>
            <w:pPr>
              <w:widowControl/>
              <w:spacing w:line="120" w:lineRule="atLeast"/>
              <w:jc w:val="left"/>
              <w:rPr>
                <w:rFonts w:ascii="宋体" w:hAnsi="宋体" w:eastAsia="宋体" w:cs="宋体"/>
                <w:kern w:val="2"/>
                <w:sz w:val="20"/>
                <w:lang w:val="en-US" w:eastAsia="zh-CN" w:bidi="ar-SA"/>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4</w:t>
            </w:r>
          </w:p>
        </w:tc>
        <w:tc>
          <w:tcPr>
            <w:tcW w:w="4914" w:type="dxa"/>
            <w:gridSpan w:val="4"/>
          </w:tcPr>
          <w:p>
            <w:pPr>
              <w:jc w:val="center"/>
              <w:rPr>
                <w:sz w:val="20"/>
                <w:szCs w:val="18"/>
              </w:rPr>
            </w:pPr>
            <w:r>
              <w:rPr>
                <w:rFonts w:hint="eastAsia" w:ascii="宋体" w:hAnsi="宋体"/>
                <w:b/>
                <w:sz w:val="20"/>
              </w:rPr>
              <w:t>诚信情况</w:t>
            </w:r>
          </w:p>
        </w:tc>
        <w:tc>
          <w:tcPr>
            <w:tcW w:w="3600" w:type="dxa"/>
            <w:vAlign w:val="center"/>
          </w:tcPr>
          <w:p>
            <w:pPr>
              <w:widowControl/>
              <w:spacing w:line="120" w:lineRule="atLeast"/>
              <w:jc w:val="center"/>
              <w:rPr>
                <w:rFonts w:ascii="宋体" w:hAnsi="宋体" w:eastAsiaTheme="minorEastAsia"/>
                <w:sz w:val="20"/>
                <w:highlight w:val="green"/>
              </w:rPr>
            </w:pPr>
            <w:r>
              <w:rPr>
                <w:rFonts w:hint="eastAsia" w:ascii="宋体" w:hAnsi="宋体" w:eastAsiaTheme="minorEastAsia"/>
                <w:b/>
                <w:bCs/>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tcPr>
          <w:p>
            <w:pPr>
              <w:jc w:val="center"/>
              <w:rPr>
                <w:rFonts w:ascii="宋体" w:hAnsi="宋体"/>
                <w:b/>
                <w:sz w:val="20"/>
              </w:rPr>
            </w:pPr>
            <w:r>
              <w:rPr>
                <w:rFonts w:hint="eastAsia" w:ascii="宋体" w:hAnsi="宋体"/>
                <w:sz w:val="20"/>
              </w:rPr>
              <w:t>序号</w:t>
            </w:r>
          </w:p>
        </w:tc>
        <w:tc>
          <w:tcPr>
            <w:tcW w:w="2453" w:type="dxa"/>
          </w:tcPr>
          <w:p>
            <w:pPr>
              <w:jc w:val="center"/>
              <w:rPr>
                <w:rFonts w:ascii="宋体" w:hAnsi="宋体"/>
                <w:b/>
                <w:sz w:val="20"/>
              </w:rPr>
            </w:pPr>
            <w:r>
              <w:rPr>
                <w:rFonts w:hint="eastAsia" w:ascii="宋体" w:hAnsi="宋体"/>
                <w:sz w:val="20"/>
              </w:rPr>
              <w:t>评分因素</w:t>
            </w:r>
          </w:p>
        </w:tc>
        <w:tc>
          <w:tcPr>
            <w:tcW w:w="650" w:type="dxa"/>
          </w:tcPr>
          <w:p>
            <w:pPr>
              <w:jc w:val="center"/>
              <w:rPr>
                <w:rFonts w:ascii="宋体" w:hAnsi="宋体"/>
                <w:sz w:val="20"/>
              </w:rPr>
            </w:pPr>
            <w:r>
              <w:rPr>
                <w:rFonts w:hint="eastAsia" w:ascii="宋体" w:hAnsi="宋体"/>
                <w:sz w:val="20"/>
              </w:rPr>
              <w:t>权重</w:t>
            </w:r>
          </w:p>
        </w:tc>
        <w:tc>
          <w:tcPr>
            <w:tcW w:w="1110" w:type="dxa"/>
          </w:tcPr>
          <w:p>
            <w:pPr>
              <w:jc w:val="center"/>
              <w:rPr>
                <w:sz w:val="20"/>
                <w:szCs w:val="18"/>
              </w:rPr>
            </w:pPr>
            <w:r>
              <w:rPr>
                <w:rFonts w:hint="eastAsia" w:ascii="宋体" w:hAnsi="宋体"/>
                <w:sz w:val="20"/>
              </w:rPr>
              <w:t>评分方式</w:t>
            </w:r>
          </w:p>
        </w:tc>
        <w:tc>
          <w:tcPr>
            <w:tcW w:w="3600" w:type="dxa"/>
          </w:tcPr>
          <w:p>
            <w:pPr>
              <w:jc w:val="center"/>
              <w:rPr>
                <w:rFonts w:ascii="宋体" w:hAnsi="宋体" w:eastAsiaTheme="minorEastAsia"/>
                <w:sz w:val="20"/>
                <w:highlight w:val="green"/>
              </w:rPr>
            </w:pPr>
            <w:r>
              <w:rPr>
                <w:rFonts w:hint="eastAsia" w:ascii="宋体" w:hAnsi="宋体"/>
                <w:sz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b/>
                <w:sz w:val="20"/>
              </w:rPr>
            </w:pPr>
            <w:r>
              <w:rPr>
                <w:rFonts w:hint="eastAsia" w:ascii="宋体" w:hAnsi="宋体"/>
                <w:szCs w:val="21"/>
              </w:rPr>
              <w:t>1</w:t>
            </w:r>
          </w:p>
        </w:tc>
        <w:tc>
          <w:tcPr>
            <w:tcW w:w="2453" w:type="dxa"/>
            <w:vAlign w:val="center"/>
          </w:tcPr>
          <w:p>
            <w:pPr>
              <w:jc w:val="center"/>
              <w:rPr>
                <w:rFonts w:ascii="宋体" w:hAnsi="宋体"/>
                <w:b/>
                <w:sz w:val="20"/>
              </w:rPr>
            </w:pPr>
            <w:r>
              <w:rPr>
                <w:rFonts w:hint="eastAsia" w:ascii="宋体" w:hAnsi="宋体"/>
                <w:szCs w:val="21"/>
              </w:rPr>
              <w:t>诚信评价</w:t>
            </w:r>
          </w:p>
        </w:tc>
        <w:tc>
          <w:tcPr>
            <w:tcW w:w="650" w:type="dxa"/>
            <w:vAlign w:val="center"/>
          </w:tcPr>
          <w:p>
            <w:pPr>
              <w:jc w:val="center"/>
              <w:rPr>
                <w:rFonts w:ascii="宋体" w:hAnsi="宋体"/>
                <w:sz w:val="20"/>
              </w:rPr>
            </w:pPr>
            <w:r>
              <w:rPr>
                <w:rFonts w:hint="eastAsia" w:ascii="宋体" w:hAnsi="宋体"/>
                <w:szCs w:val="21"/>
              </w:rPr>
              <w:t>5</w:t>
            </w:r>
          </w:p>
        </w:tc>
        <w:tc>
          <w:tcPr>
            <w:tcW w:w="1110" w:type="dxa"/>
            <w:vAlign w:val="center"/>
          </w:tcPr>
          <w:p>
            <w:pPr>
              <w:jc w:val="center"/>
              <w:rPr>
                <w:sz w:val="20"/>
                <w:szCs w:val="18"/>
              </w:rPr>
            </w:pPr>
            <w:r>
              <w:rPr>
                <w:rFonts w:hint="eastAsia" w:ascii="宋体" w:hAnsi="宋体"/>
                <w:szCs w:val="21"/>
              </w:rPr>
              <w:t>专家打分</w:t>
            </w:r>
          </w:p>
        </w:tc>
        <w:tc>
          <w:tcPr>
            <w:tcW w:w="3600" w:type="dxa"/>
          </w:tcPr>
          <w:p>
            <w:pPr>
              <w:jc w:val="left"/>
              <w:rPr>
                <w:rFonts w:ascii="宋体" w:hAnsi="宋体" w:eastAsiaTheme="minorEastAsia"/>
                <w:sz w:val="20"/>
                <w:highlight w:val="green"/>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sz w:val="20"/>
        </w:rPr>
      </w:pPr>
      <w:r>
        <w:rPr>
          <w:rFonts w:hint="eastAsia" w:ascii="宋体" w:hAnsi="宋体"/>
          <w:sz w:val="20"/>
        </w:rPr>
        <w:t>说明：</w:t>
      </w:r>
    </w:p>
    <w:p>
      <w:pPr>
        <w:spacing w:line="360" w:lineRule="exact"/>
        <w:jc w:val="left"/>
        <w:rPr>
          <w:rFonts w:ascii="宋体" w:hAnsi="宋体"/>
          <w:sz w:val="20"/>
        </w:rPr>
      </w:pPr>
      <w:r>
        <w:rPr>
          <w:rFonts w:hint="eastAsia" w:ascii="宋体" w:hAnsi="宋体"/>
          <w:sz w:val="20"/>
        </w:rPr>
        <w:t>1、本评分表中每一栏的得分最高不得超过该项评审指标的分值。</w:t>
      </w:r>
    </w:p>
    <w:p>
      <w:pPr>
        <w:spacing w:line="360" w:lineRule="exact"/>
        <w:jc w:val="left"/>
        <w:rPr>
          <w:rFonts w:ascii="宋体" w:hAnsi="宋体"/>
          <w:sz w:val="20"/>
        </w:rPr>
      </w:pPr>
      <w:r>
        <w:rPr>
          <w:rFonts w:hint="eastAsia" w:ascii="宋体" w:hAnsi="宋体"/>
          <w:sz w:val="20"/>
        </w:rPr>
        <w:t>2、表中要求提供相关计分证明文件的内容，投标文件中须明确加以说明，未按要求提供相关文件或说明不清楚的按不符合要求处理。</w:t>
      </w:r>
    </w:p>
    <w:p>
      <w:pPr>
        <w:rPr>
          <w:sz w:val="20"/>
          <w:szCs w:val="18"/>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rPr>
          <w:rFonts w:ascii="宋体" w:hAnsi="宋体"/>
          <w:sz w:val="40"/>
          <w:szCs w:val="40"/>
        </w:rPr>
      </w:pPr>
      <w:r>
        <w:rPr>
          <w:rFonts w:hint="eastAsia" w:ascii="宋体" w:hAnsi="宋体"/>
          <w:sz w:val="40"/>
          <w:szCs w:val="40"/>
        </w:rPr>
        <w:br w:type="page"/>
      </w:r>
    </w:p>
    <w:p>
      <w:pPr>
        <w:pStyle w:val="26"/>
      </w:pPr>
    </w:p>
    <w:p>
      <w:pPr>
        <w:spacing w:after="78"/>
        <w:jc w:val="left"/>
        <w:outlineLvl w:val="0"/>
        <w:rPr>
          <w:rFonts w:ascii="宋体" w:hAnsi="宋体"/>
          <w:color w:val="000000"/>
          <w:sz w:val="40"/>
          <w:szCs w:val="40"/>
        </w:rPr>
      </w:pPr>
      <w:r>
        <w:rPr>
          <w:rFonts w:hint="eastAsia" w:ascii="宋体" w:hAnsi="宋体"/>
          <w:color w:val="000000"/>
          <w:sz w:val="40"/>
          <w:szCs w:val="40"/>
        </w:rPr>
        <w:t>项目预算</w:t>
      </w:r>
      <w:r>
        <w:rPr>
          <w:rFonts w:hint="eastAsia" w:ascii="宋体" w:hAnsi="宋体"/>
          <w:color w:val="000000"/>
          <w:sz w:val="40"/>
          <w:szCs w:val="40"/>
          <w:lang w:val="en-US" w:eastAsia="zh-CN"/>
        </w:rPr>
        <w:t>19.8</w:t>
      </w:r>
      <w:r>
        <w:rPr>
          <w:rFonts w:hint="eastAsia" w:ascii="宋体" w:hAnsi="宋体"/>
          <w:color w:val="000000"/>
          <w:sz w:val="40"/>
          <w:szCs w:val="40"/>
        </w:rPr>
        <w:t>万元:</w:t>
      </w:r>
    </w:p>
    <w:p>
      <w:pPr>
        <w:spacing w:after="78"/>
        <w:jc w:val="center"/>
        <w:outlineLvl w:val="0"/>
        <w:rPr>
          <w:rFonts w:ascii="宋体" w:hAnsi="宋体"/>
          <w:color w:val="FF0000"/>
          <w:sz w:val="40"/>
          <w:szCs w:val="40"/>
        </w:rPr>
      </w:pPr>
      <w:r>
        <w:rPr>
          <w:rFonts w:hint="eastAsia" w:ascii="宋体" w:hAnsi="宋体"/>
          <w:color w:val="FF0000"/>
          <w:sz w:val="40"/>
          <w:szCs w:val="40"/>
        </w:rPr>
        <w:t>招标参数</w:t>
      </w:r>
    </w:p>
    <w:tbl>
      <w:tblPr>
        <w:tblStyle w:val="1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s="宋体"/>
                <w:kern w:val="0"/>
                <w:sz w:val="24"/>
                <w:szCs w:val="24"/>
              </w:rPr>
            </w:pPr>
            <w:r>
              <w:rPr>
                <w:rFonts w:hint="eastAsia" w:ascii="宋体" w:hAnsi="宋体" w:cs="宋体"/>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after="78" w:line="240" w:lineRule="auto"/>
              <w:ind w:left="360" w:leftChars="0" w:firstLine="0" w:firstLineChars="0"/>
              <w:contextualSpacing/>
              <w:rPr>
                <w:rFonts w:ascii="宋体" w:hAnsi="宋体" w:cs="宋体"/>
                <w:sz w:val="24"/>
                <w:szCs w:val="24"/>
              </w:rPr>
            </w:pPr>
            <w:r>
              <w:rPr>
                <w:rFonts w:hint="eastAsia" w:ascii="Times New Roman" w:hAnsi="Times New Roman" w:cs="Times New Roman"/>
                <w:color w:val="auto"/>
                <w:sz w:val="22"/>
                <w:szCs w:val="22"/>
                <w:lang w:val="en-US" w:eastAsia="zh-CN"/>
              </w:rPr>
              <w:t>深圳市第二儿童医院配套医疗设备项目概算书编制咨询服务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s="宋体"/>
                <w:kern w:val="0"/>
                <w:sz w:val="24"/>
                <w:szCs w:val="24"/>
              </w:rPr>
            </w:pPr>
            <w:r>
              <w:rPr>
                <w:rFonts w:hint="eastAsia" w:ascii="宋体" w:hAnsi="宋体" w:cs="宋体"/>
                <w:kern w:val="0"/>
                <w:sz w:val="24"/>
                <w:szCs w:val="24"/>
              </w:rPr>
              <w:t>项目背景</w:t>
            </w:r>
          </w:p>
        </w:tc>
        <w:tc>
          <w:tcPr>
            <w:tcW w:w="7750" w:type="dxa"/>
            <w:tcBorders>
              <w:top w:val="single" w:color="auto" w:sz="4" w:space="0"/>
              <w:left w:val="single" w:color="auto" w:sz="4" w:space="0"/>
              <w:bottom w:val="single" w:color="auto" w:sz="4" w:space="0"/>
              <w:right w:val="single" w:color="auto" w:sz="4" w:space="0"/>
            </w:tcBorders>
            <w:vAlign w:val="center"/>
          </w:tcPr>
          <w:p>
            <w:pPr>
              <w:ind w:right="-51" w:firstLine="440" w:firstLineChars="200"/>
              <w:jc w:val="left"/>
              <w:outlineLvl w:val="0"/>
              <w:rPr>
                <w:rFonts w:ascii="宋体" w:hAnsi="宋体" w:cs="宋体"/>
                <w:kern w:val="0"/>
                <w:sz w:val="24"/>
                <w:szCs w:val="24"/>
              </w:rPr>
            </w:pPr>
            <w:r>
              <w:rPr>
                <w:rFonts w:hint="eastAsia" w:ascii="Times New Roman" w:hAnsi="Times New Roman" w:cs="Times New Roman"/>
                <w:color w:val="auto"/>
                <w:sz w:val="22"/>
                <w:szCs w:val="22"/>
                <w:lang w:val="en-US" w:eastAsia="zh-CN"/>
              </w:rPr>
              <w:t>编制深圳市第二儿童医院配套医疗设备项目概算书上报发改部门审批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right w:val="single" w:color="auto" w:sz="4" w:space="0"/>
            </w:tcBorders>
            <w:vAlign w:val="center"/>
          </w:tcPr>
          <w:p>
            <w:pPr>
              <w:spacing w:after="78"/>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after="78" w:line="240" w:lineRule="auto"/>
              <w:ind w:left="360" w:firstLine="0"/>
              <w:rPr>
                <w:rFonts w:hint="eastAsia"/>
                <w:lang w:val="en-US" w:eastAsia="zh-CN"/>
              </w:rPr>
            </w:pPr>
            <w:r>
              <w:rPr>
                <w:rFonts w:hint="eastAsia"/>
                <w:lang w:val="en-US" w:eastAsia="zh-CN"/>
              </w:rPr>
              <w:t>中标人必须按深圳市发展和改革委员会的规定和要求编制本项目的可行性研究报告，主要内容包括（但不限于）：</w:t>
            </w:r>
          </w:p>
          <w:p>
            <w:pPr>
              <w:numPr>
                <w:ilvl w:val="-1"/>
                <w:numId w:val="0"/>
              </w:numPr>
              <w:spacing w:after="78" w:line="240" w:lineRule="auto"/>
              <w:ind w:left="360" w:firstLine="0"/>
              <w:rPr>
                <w:rFonts w:hint="eastAsia"/>
                <w:lang w:val="en-US" w:eastAsia="zh-CN"/>
              </w:rPr>
            </w:pPr>
            <w:r>
              <w:rPr>
                <w:rFonts w:hint="eastAsia"/>
                <w:lang w:val="en-US" w:eastAsia="zh-CN"/>
              </w:rPr>
              <w:t>1、建设项目依据、必要性及迫切性：搜集相关资料与规划，分析相关政策和环境，结合未来发展规划，明确项目建设的背景和必要性。</w:t>
            </w:r>
          </w:p>
          <w:p>
            <w:pPr>
              <w:numPr>
                <w:ilvl w:val="-1"/>
                <w:numId w:val="0"/>
              </w:numPr>
              <w:spacing w:after="78" w:line="240" w:lineRule="auto"/>
              <w:ind w:left="360" w:firstLine="0"/>
              <w:rPr>
                <w:rFonts w:hint="eastAsia"/>
                <w:lang w:val="en-US" w:eastAsia="zh-CN"/>
              </w:rPr>
            </w:pPr>
            <w:r>
              <w:rPr>
                <w:rFonts w:hint="eastAsia"/>
                <w:lang w:val="en-US" w:eastAsia="zh-CN"/>
              </w:rPr>
              <w:t>2、在可研批复的基础上，深入调研和三方询价：明确第二儿童医院医疗设备购置的详细需求：对医院规划进行全面深入调研，充分掌握其医用设备配置现状，发掘其存在的问题和潜在需求，明确其对设备的功能、规模、服务等各方面的需求。</w:t>
            </w:r>
          </w:p>
          <w:p>
            <w:pPr>
              <w:numPr>
                <w:ilvl w:val="-1"/>
                <w:numId w:val="0"/>
              </w:numPr>
              <w:spacing w:after="78" w:line="240" w:lineRule="auto"/>
              <w:ind w:left="360" w:firstLine="0"/>
              <w:rPr>
                <w:rFonts w:hint="eastAsia"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3、按照调研的需求，合理科学确定</w:t>
            </w:r>
            <w:r>
              <w:rPr>
                <w:rFonts w:hint="eastAsia" w:cs="Times New Roman"/>
                <w:color w:val="auto"/>
                <w:sz w:val="22"/>
                <w:szCs w:val="22"/>
                <w:lang w:val="en-US" w:eastAsia="zh-CN"/>
              </w:rPr>
              <w:t>科室需求</w:t>
            </w:r>
            <w:r>
              <w:rPr>
                <w:rFonts w:hint="eastAsia" w:ascii="Times New Roman" w:hAnsi="Times New Roman" w:cs="Times New Roman"/>
                <w:color w:val="auto"/>
                <w:sz w:val="22"/>
                <w:szCs w:val="22"/>
                <w:lang w:val="en-US" w:eastAsia="zh-CN"/>
              </w:rPr>
              <w:t>，</w:t>
            </w:r>
            <w:r>
              <w:rPr>
                <w:rFonts w:hint="eastAsia" w:cs="Times New Roman"/>
                <w:color w:val="auto"/>
                <w:sz w:val="22"/>
                <w:szCs w:val="22"/>
                <w:lang w:val="en-US" w:eastAsia="zh-CN"/>
              </w:rPr>
              <w:t>设备详细</w:t>
            </w:r>
            <w:r>
              <w:rPr>
                <w:rFonts w:hint="eastAsia" w:ascii="Times New Roman" w:hAnsi="Times New Roman" w:cs="Times New Roman"/>
                <w:color w:val="auto"/>
                <w:sz w:val="22"/>
                <w:szCs w:val="22"/>
                <w:lang w:val="en-US" w:eastAsia="zh-CN"/>
              </w:rPr>
              <w:t>配置</w:t>
            </w:r>
            <w:r>
              <w:rPr>
                <w:rFonts w:hint="eastAsia" w:cs="Times New Roman"/>
                <w:color w:val="auto"/>
                <w:sz w:val="22"/>
                <w:szCs w:val="22"/>
                <w:lang w:val="en-US" w:eastAsia="zh-CN"/>
              </w:rPr>
              <w:t>及建设</w:t>
            </w:r>
            <w:r>
              <w:rPr>
                <w:rFonts w:hint="eastAsia" w:ascii="Times New Roman" w:hAnsi="Times New Roman" w:cs="Times New Roman"/>
                <w:color w:val="auto"/>
                <w:sz w:val="22"/>
                <w:szCs w:val="22"/>
                <w:lang w:val="en-US" w:eastAsia="zh-CN"/>
              </w:rPr>
              <w:t>内容和规模。</w:t>
            </w:r>
          </w:p>
          <w:p>
            <w:pPr>
              <w:numPr>
                <w:ilvl w:val="-1"/>
                <w:numId w:val="0"/>
              </w:numPr>
              <w:spacing w:after="78" w:line="240" w:lineRule="auto"/>
              <w:ind w:left="360" w:firstLine="0"/>
              <w:rPr>
                <w:rFonts w:hint="eastAsia"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4、对项目进行设备方案论证和研究，并提出合理化</w:t>
            </w:r>
            <w:bookmarkStart w:id="20" w:name="_GoBack"/>
            <w:bookmarkEnd w:id="20"/>
            <w:r>
              <w:rPr>
                <w:rFonts w:hint="eastAsia" w:ascii="Times New Roman" w:hAnsi="Times New Roman" w:cs="Times New Roman"/>
                <w:color w:val="auto"/>
                <w:sz w:val="22"/>
                <w:szCs w:val="22"/>
                <w:lang w:val="en-US" w:eastAsia="zh-CN"/>
              </w:rPr>
              <w:t>建议：</w:t>
            </w:r>
          </w:p>
          <w:p>
            <w:pPr>
              <w:numPr>
                <w:ilvl w:val="-1"/>
                <w:numId w:val="0"/>
              </w:numPr>
              <w:spacing w:after="78" w:line="240" w:lineRule="auto"/>
              <w:ind w:left="360" w:firstLine="440" w:firstLineChars="200"/>
              <w:rPr>
                <w:rFonts w:hint="eastAsia"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根据调研的需求和确定的建设目标，建设内容和规模，结合对方案的全面性、合理性、先进性、可实施性进行分析论证，确定最终概算的设备方案。</w:t>
            </w:r>
          </w:p>
          <w:p>
            <w:pPr>
              <w:numPr>
                <w:ilvl w:val="-1"/>
                <w:numId w:val="0"/>
              </w:numPr>
              <w:spacing w:after="78" w:line="240" w:lineRule="auto"/>
              <w:ind w:left="360" w:firstLine="0"/>
              <w:rPr>
                <w:rFonts w:hint="eastAsia"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5、合理确定项目投资概算，确定项目资金筹措和运用方案。</w:t>
            </w:r>
          </w:p>
          <w:p>
            <w:pPr>
              <w:numPr>
                <w:ilvl w:val="-1"/>
                <w:numId w:val="0"/>
              </w:numPr>
              <w:spacing w:after="78" w:line="240" w:lineRule="auto"/>
              <w:ind w:left="360" w:firstLine="0"/>
              <w:rPr>
                <w:rFonts w:hint="eastAsia"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6、制定模板，确认和收集各科室设备清单：进行整理、确认模板的内容要包括设备名称、数量、单价、总额、主要配置、保修年限、申请科室。</w:t>
            </w:r>
          </w:p>
          <w:p>
            <w:pPr>
              <w:numPr>
                <w:ilvl w:val="-1"/>
                <w:numId w:val="0"/>
              </w:numPr>
              <w:spacing w:after="78" w:line="240" w:lineRule="auto"/>
              <w:ind w:left="360" w:firstLine="0"/>
              <w:rPr>
                <w:rFonts w:hint="eastAsia"/>
                <w:lang w:val="en-US" w:eastAsia="zh-CN"/>
              </w:rPr>
            </w:pPr>
            <w:r>
              <w:rPr>
                <w:rFonts w:hint="eastAsia" w:ascii="Times New Roman" w:hAnsi="Times New Roman" w:cs="Times New Roman"/>
                <w:color w:val="auto"/>
                <w:sz w:val="22"/>
                <w:szCs w:val="22"/>
                <w:lang w:val="en-US" w:eastAsia="zh-CN"/>
              </w:rPr>
              <w:t>7、按采购进口设备申请的模板，协调、引导各科室补充填报进口设备论证表，组织专家进行进口设备论证。</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hint="eastAsia" w:ascii="宋体" w:hAnsi="宋体" w:eastAsia="宋体" w:cs="宋体"/>
                <w:bCs/>
                <w:sz w:val="24"/>
                <w:szCs w:val="24"/>
                <w:lang w:eastAsia="zh-CN"/>
              </w:rPr>
            </w:pPr>
            <w:r>
              <w:rPr>
                <w:rFonts w:hint="eastAsia" w:ascii="宋体" w:hAnsi="宋体" w:cs="宋体"/>
                <w:bCs/>
                <w:sz w:val="24"/>
                <w:szCs w:val="24"/>
                <w:lang w:eastAsia="zh-CN"/>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after="78" w:line="240" w:lineRule="auto"/>
              <w:ind w:left="360" w:leftChars="0" w:firstLine="0" w:firstLineChars="0"/>
              <w:contextualSpacing/>
              <w:rPr>
                <w:rFonts w:hint="eastAsia" w:cs="Times New Roman"/>
                <w:color w:val="auto"/>
                <w:sz w:val="22"/>
                <w:szCs w:val="22"/>
                <w:lang w:val="en-US" w:eastAsia="zh-CN"/>
              </w:rPr>
            </w:pPr>
            <w:r>
              <w:rPr>
                <w:rFonts w:hint="eastAsia" w:cs="Times New Roman"/>
                <w:color w:val="auto"/>
                <w:sz w:val="22"/>
                <w:szCs w:val="22"/>
                <w:lang w:val="en-US" w:eastAsia="zh-CN"/>
              </w:rPr>
              <w:t>1、</w:t>
            </w:r>
            <w:r>
              <w:rPr>
                <w:rFonts w:hint="eastAsia" w:ascii="Times New Roman" w:hAnsi="Times New Roman" w:cs="Times New Roman"/>
                <w:color w:val="auto"/>
                <w:sz w:val="22"/>
                <w:szCs w:val="22"/>
                <w:lang w:eastAsia="zh-CN"/>
              </w:rPr>
              <w:t>具有独立法人资格企业，须提供营业执照复印件加盖投标人公章；</w:t>
            </w:r>
          </w:p>
          <w:p>
            <w:pPr>
              <w:numPr>
                <w:ilvl w:val="-1"/>
                <w:numId w:val="0"/>
              </w:numPr>
              <w:spacing w:before="156" w:beforeLines="50" w:beforeAutospacing="0" w:after="78" w:afterAutospacing="0" w:line="240" w:lineRule="auto"/>
              <w:ind w:left="360" w:leftChars="0" w:firstLine="0" w:firstLineChars="0"/>
              <w:outlineLvl w:val="0"/>
              <w:rPr>
                <w:rFonts w:hint="eastAsia" w:ascii="Times New Roman" w:hAnsi="Times New Roman" w:cs="Times New Roman"/>
                <w:color w:val="auto"/>
                <w:sz w:val="22"/>
                <w:szCs w:val="22"/>
                <w:lang w:eastAsia="zh-CN"/>
              </w:rPr>
            </w:pPr>
            <w:r>
              <w:rPr>
                <w:rFonts w:hint="eastAsia" w:cs="Times New Roman"/>
                <w:color w:val="auto"/>
                <w:sz w:val="22"/>
                <w:szCs w:val="22"/>
                <w:lang w:val="en-US" w:eastAsia="zh-CN"/>
              </w:rPr>
              <w:t>2、</w:t>
            </w:r>
            <w:r>
              <w:rPr>
                <w:rFonts w:hint="eastAsia" w:ascii="Times New Roman" w:hAnsi="Times New Roman" w:cs="Times New Roman"/>
                <w:color w:val="auto"/>
                <w:sz w:val="22"/>
                <w:szCs w:val="22"/>
                <w:lang w:eastAsia="zh-CN"/>
              </w:rPr>
              <w:t>企业须在全国投资项目在线审批监督平台通过工程咨询单位备案，并提供备案公示信息复印件加盖投标人公章。</w:t>
            </w:r>
          </w:p>
          <w:p>
            <w:pPr>
              <w:numPr>
                <w:ilvl w:val="-1"/>
                <w:numId w:val="0"/>
              </w:numPr>
              <w:spacing w:before="156" w:beforeLines="50" w:beforeAutospacing="0" w:after="78" w:afterAutospacing="0" w:line="240" w:lineRule="auto"/>
              <w:ind w:left="360" w:leftChars="0" w:firstLine="0" w:firstLineChars="0"/>
              <w:outlineLvl w:val="0"/>
              <w:rPr>
                <w:rFonts w:hint="eastAsia" w:ascii="Times New Roman" w:hAnsi="Times New Roman" w:cs="Times New Roman"/>
                <w:color w:val="auto"/>
                <w:sz w:val="22"/>
                <w:szCs w:val="22"/>
                <w:lang w:val="en-US" w:eastAsia="zh-CN"/>
              </w:rPr>
            </w:pPr>
            <w:r>
              <w:rPr>
                <w:rFonts w:hint="eastAsia" w:cs="Times New Roman"/>
                <w:color w:val="auto"/>
                <w:sz w:val="22"/>
                <w:szCs w:val="22"/>
                <w:lang w:val="en-US" w:eastAsia="zh-CN"/>
              </w:rPr>
              <w:t>3、提供</w:t>
            </w:r>
            <w:r>
              <w:rPr>
                <w:rFonts w:hint="eastAsia" w:ascii="Times New Roman" w:hAnsi="Times New Roman" w:cs="Times New Roman"/>
                <w:color w:val="auto"/>
                <w:sz w:val="22"/>
                <w:szCs w:val="22"/>
                <w:lang w:eastAsia="zh-CN"/>
              </w:rPr>
              <w:t>深圳市第二儿童医院</w:t>
            </w:r>
            <w:r>
              <w:rPr>
                <w:rFonts w:hint="eastAsia" w:ascii="Times New Roman" w:hAnsi="Times New Roman" w:cs="Times New Roman"/>
                <w:color w:val="auto"/>
                <w:sz w:val="22"/>
                <w:szCs w:val="22"/>
                <w:lang w:val="en-US" w:eastAsia="zh-CN"/>
              </w:rPr>
              <w:t>配套医疗设备项目概算书</w:t>
            </w:r>
            <w:r>
              <w:rPr>
                <w:rFonts w:hint="eastAsia" w:ascii="Times New Roman" w:hAnsi="Times New Roman" w:cs="Times New Roman"/>
                <w:color w:val="auto"/>
                <w:sz w:val="22"/>
                <w:szCs w:val="22"/>
                <w:lang w:eastAsia="zh-CN"/>
              </w:rPr>
              <w:t>编制咨询服务（含</w:t>
            </w:r>
            <w:r>
              <w:rPr>
                <w:rFonts w:hint="eastAsia" w:ascii="Times New Roman" w:hAnsi="Times New Roman" w:eastAsia="宋体" w:cs="Times New Roman"/>
                <w:color w:val="auto"/>
                <w:sz w:val="28"/>
                <w:lang w:eastAsia="zh-CN"/>
              </w:rPr>
              <w:t>（</w:t>
            </w:r>
            <w:r>
              <w:rPr>
                <w:rFonts w:hint="eastAsia" w:ascii="Times New Roman" w:hAnsi="Times New Roman" w:cs="Times New Roman"/>
                <w:color w:val="auto"/>
                <w:sz w:val="22"/>
                <w:szCs w:val="22"/>
                <w:lang w:val="en-US" w:eastAsia="zh-CN"/>
              </w:rPr>
              <w:t>含需求调研、设备配置方案研究、三方询价论证、进口设备补充论证、概算书编制），并配合评审直至发改部门审核通过的全过程咨询服务。</w:t>
            </w:r>
          </w:p>
          <w:p>
            <w:pPr>
              <w:numPr>
                <w:ilvl w:val="-1"/>
                <w:numId w:val="0"/>
              </w:numPr>
              <w:spacing w:after="78" w:line="240" w:lineRule="auto"/>
              <w:ind w:left="360" w:firstLine="0"/>
              <w:rPr>
                <w:rFonts w:hint="eastAsia" w:ascii="Times New Roman" w:hAnsi="Times New Roman" w:cs="Times New Roman"/>
                <w:color w:val="auto"/>
                <w:sz w:val="22"/>
                <w:szCs w:val="22"/>
                <w:lang w:eastAsia="zh-CN"/>
              </w:rPr>
            </w:pPr>
            <w:r>
              <w:rPr>
                <w:rFonts w:hint="eastAsia" w:cs="Times New Roman"/>
                <w:color w:val="auto"/>
                <w:sz w:val="22"/>
                <w:szCs w:val="22"/>
                <w:lang w:val="en-US" w:eastAsia="zh-CN"/>
              </w:rPr>
              <w:t>4</w:t>
            </w:r>
            <w:r>
              <w:rPr>
                <w:rFonts w:hint="eastAsia" w:ascii="Times New Roman" w:hAnsi="Times New Roman" w:cs="Times New Roman"/>
                <w:color w:val="auto"/>
                <w:sz w:val="22"/>
                <w:szCs w:val="22"/>
                <w:lang w:val="en-US" w:eastAsia="zh-CN"/>
              </w:rPr>
              <w:t>、</w:t>
            </w:r>
            <w:r>
              <w:rPr>
                <w:rFonts w:hint="eastAsia" w:ascii="Times New Roman" w:hAnsi="Times New Roman" w:cs="Times New Roman"/>
                <w:color w:val="auto"/>
                <w:sz w:val="22"/>
                <w:szCs w:val="22"/>
                <w:lang w:eastAsia="zh-CN"/>
              </w:rPr>
              <w:t>中标后</w:t>
            </w:r>
            <w:r>
              <w:rPr>
                <w:rFonts w:hint="eastAsia" w:ascii="Times New Roman" w:hAnsi="Times New Roman" w:cs="Times New Roman"/>
                <w:color w:val="auto"/>
                <w:sz w:val="22"/>
                <w:szCs w:val="22"/>
                <w:lang w:val="en-US" w:eastAsia="zh-CN"/>
              </w:rPr>
              <w:t>1</w:t>
            </w:r>
            <w:r>
              <w:rPr>
                <w:rFonts w:hint="eastAsia" w:ascii="Times New Roman" w:hAnsi="Times New Roman" w:cs="Times New Roman"/>
                <w:color w:val="auto"/>
                <w:sz w:val="22"/>
                <w:szCs w:val="22"/>
                <w:lang w:eastAsia="zh-CN"/>
              </w:rPr>
              <w:t>0日完成深圳市第二儿童医院</w:t>
            </w:r>
            <w:r>
              <w:rPr>
                <w:rFonts w:hint="eastAsia" w:ascii="Times New Roman" w:hAnsi="Times New Roman" w:cs="Times New Roman"/>
                <w:color w:val="auto"/>
                <w:sz w:val="22"/>
                <w:szCs w:val="22"/>
                <w:lang w:val="en-US" w:eastAsia="zh-CN"/>
              </w:rPr>
              <w:t>配套医疗设备项目概算书</w:t>
            </w:r>
            <w:r>
              <w:rPr>
                <w:rFonts w:hint="eastAsia" w:ascii="Times New Roman" w:hAnsi="Times New Roman" w:cs="Times New Roman"/>
                <w:color w:val="auto"/>
                <w:sz w:val="22"/>
                <w:szCs w:val="22"/>
                <w:lang w:eastAsia="zh-CN"/>
              </w:rPr>
              <w:t>编制，并上报发改审核。</w:t>
            </w:r>
          </w:p>
          <w:p>
            <w:pPr>
              <w:numPr>
                <w:ilvl w:val="-1"/>
                <w:numId w:val="0"/>
              </w:numPr>
              <w:spacing w:after="78" w:line="240" w:lineRule="auto"/>
              <w:ind w:left="360" w:firstLine="0"/>
              <w:rPr>
                <w:rFonts w:hint="eastAsia" w:ascii="Times New Roman" w:hAnsi="Times New Roman" w:cs="Times New Roman"/>
                <w:color w:val="auto"/>
                <w:sz w:val="22"/>
                <w:szCs w:val="22"/>
                <w:lang w:eastAsia="zh-CN"/>
              </w:rPr>
            </w:pPr>
            <w:r>
              <w:rPr>
                <w:rFonts w:hint="eastAsia" w:cs="Times New Roman"/>
                <w:color w:val="auto"/>
                <w:sz w:val="22"/>
                <w:szCs w:val="22"/>
                <w:lang w:val="en-US" w:eastAsia="zh-CN"/>
              </w:rPr>
              <w:t>5</w:t>
            </w:r>
            <w:r>
              <w:rPr>
                <w:rFonts w:hint="eastAsia" w:ascii="Times New Roman" w:hAnsi="Times New Roman" w:cs="Times New Roman"/>
                <w:color w:val="auto"/>
                <w:sz w:val="22"/>
                <w:szCs w:val="22"/>
                <w:lang w:val="en-US" w:eastAsia="zh-CN"/>
              </w:rPr>
              <w:t>、</w:t>
            </w:r>
            <w:r>
              <w:rPr>
                <w:rFonts w:hint="eastAsia" w:ascii="Times New Roman" w:hAnsi="Times New Roman" w:cs="Times New Roman"/>
                <w:color w:val="auto"/>
                <w:sz w:val="22"/>
                <w:szCs w:val="22"/>
                <w:lang w:eastAsia="zh-CN"/>
              </w:rPr>
              <w:t>投标限额及付款方式</w:t>
            </w:r>
          </w:p>
          <w:p>
            <w:pPr>
              <w:numPr>
                <w:ilvl w:val="-1"/>
                <w:numId w:val="0"/>
              </w:numPr>
              <w:spacing w:after="78" w:line="240" w:lineRule="auto"/>
              <w:ind w:left="360" w:firstLine="440" w:firstLineChars="200"/>
              <w:rPr>
                <w:rFonts w:hint="eastAsia"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招标限额;本次招标项目投标报价上限为</w:t>
            </w:r>
            <w:r>
              <w:rPr>
                <w:rFonts w:hint="eastAsia" w:cs="Times New Roman"/>
                <w:color w:val="auto"/>
                <w:sz w:val="22"/>
                <w:szCs w:val="22"/>
                <w:lang w:val="en-US" w:eastAsia="zh-CN"/>
              </w:rPr>
              <w:t>19.8</w:t>
            </w:r>
            <w:r>
              <w:rPr>
                <w:rFonts w:hint="eastAsia" w:ascii="Times New Roman" w:hAnsi="Times New Roman" w:cs="Times New Roman"/>
                <w:color w:val="auto"/>
                <w:sz w:val="22"/>
                <w:szCs w:val="22"/>
                <w:lang w:val="en-US" w:eastAsia="zh-CN"/>
              </w:rPr>
              <w:t>万元，超过作废标处理。说明：合同最终结算价不超过</w:t>
            </w:r>
            <w:r>
              <w:rPr>
                <w:rFonts w:hint="eastAsia" w:cs="Times New Roman"/>
                <w:color w:val="auto"/>
                <w:sz w:val="22"/>
                <w:szCs w:val="22"/>
                <w:lang w:val="en-US" w:eastAsia="zh-CN"/>
              </w:rPr>
              <w:t>按</w:t>
            </w:r>
            <w:r>
              <w:rPr>
                <w:rFonts w:hint="eastAsia" w:ascii="Times New Roman" w:hAnsi="Times New Roman" w:cs="Times New Roman"/>
                <w:color w:val="auto"/>
                <w:sz w:val="22"/>
                <w:szCs w:val="22"/>
                <w:lang w:val="en-US" w:eastAsia="zh-CN"/>
              </w:rPr>
              <w:t>概算批复投资额测算的概算编制咨询费。</w:t>
            </w:r>
          </w:p>
          <w:p>
            <w:pPr>
              <w:numPr>
                <w:ilvl w:val="-1"/>
                <w:numId w:val="0"/>
              </w:numPr>
              <w:spacing w:after="78" w:line="240" w:lineRule="auto"/>
              <w:ind w:left="360" w:firstLine="440" w:firstLineChars="200"/>
              <w:rPr>
                <w:rFonts w:hint="eastAsia"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 xml:space="preserve">付款方式: </w:t>
            </w:r>
            <w:r>
              <w:rPr>
                <w:rFonts w:hint="eastAsia" w:ascii="Times New Roman" w:hAnsi="Times New Roman" w:cs="Times New Roman"/>
                <w:color w:val="auto"/>
                <w:sz w:val="22"/>
                <w:szCs w:val="22"/>
                <w:lang w:val="zh-CN" w:eastAsia="zh-CN"/>
              </w:rPr>
              <w:t>本项目无预付款，待市发改</w:t>
            </w:r>
            <w:r>
              <w:rPr>
                <w:rFonts w:hint="eastAsia" w:ascii="Times New Roman" w:hAnsi="Times New Roman" w:cs="Times New Roman"/>
                <w:color w:val="auto"/>
                <w:sz w:val="22"/>
                <w:szCs w:val="22"/>
                <w:lang w:val="en-US" w:eastAsia="zh-CN"/>
              </w:rPr>
              <w:t>概算</w:t>
            </w:r>
            <w:r>
              <w:rPr>
                <w:rFonts w:hint="eastAsia" w:ascii="Times New Roman" w:hAnsi="Times New Roman" w:cs="Times New Roman"/>
                <w:color w:val="auto"/>
                <w:sz w:val="22"/>
                <w:szCs w:val="22"/>
                <w:lang w:val="zh-CN" w:eastAsia="zh-CN"/>
              </w:rPr>
              <w:t>批复并下达前期费用或资金到位后一次性支付；</w:t>
            </w:r>
          </w:p>
          <w:p>
            <w:pPr>
              <w:ind w:firstLine="440" w:firstLineChars="200"/>
            </w:pPr>
            <w:r>
              <w:rPr>
                <w:rFonts w:hint="eastAsia" w:ascii="Times New Roman" w:hAnsi="Times New Roman" w:cs="Times New Roman"/>
                <w:color w:val="auto"/>
                <w:sz w:val="22"/>
                <w:szCs w:val="22"/>
                <w:lang w:val="en-US" w:eastAsia="zh-CN"/>
              </w:rPr>
              <w:t>注：如该项目由于政策或不可抗力等因素导致废止，无法下达财委资金，则按中标人实际完成的工作量，经双方共同确认无误后，由采购人自筹经费按</w:t>
            </w:r>
            <w:r>
              <w:rPr>
                <w:rFonts w:hint="eastAsia" w:ascii="Times New Roman" w:hAnsi="Times New Roman" w:cs="Times New Roman"/>
                <w:color w:val="auto"/>
                <w:sz w:val="22"/>
                <w:szCs w:val="22"/>
                <w:lang w:eastAsia="zh-CN"/>
              </w:rPr>
              <w:t>进度结算。</w:t>
            </w:r>
            <w:r>
              <w:rPr>
                <w:rFonts w:hint="eastAsia"/>
                <w:color w:val="auto"/>
                <w:sz w:val="22"/>
                <w:szCs w:val="22"/>
              </w:rPr>
              <w:t>若中标人已完成项目</w:t>
            </w:r>
            <w:r>
              <w:rPr>
                <w:rFonts w:hint="eastAsia" w:ascii="Times New Roman" w:hAnsi="Times New Roman" w:cs="Times New Roman"/>
                <w:color w:val="auto"/>
                <w:sz w:val="22"/>
                <w:szCs w:val="22"/>
                <w:lang w:val="en-US" w:eastAsia="zh-CN"/>
              </w:rPr>
              <w:t>可行性研究报告</w:t>
            </w:r>
            <w:r>
              <w:rPr>
                <w:rFonts w:hint="eastAsia" w:ascii="Times New Roman" w:hAnsi="Times New Roman" w:cs="Times New Roman"/>
                <w:color w:val="auto"/>
                <w:sz w:val="22"/>
                <w:szCs w:val="22"/>
                <w:lang w:eastAsia="zh-CN"/>
              </w:rPr>
              <w:t>编制</w:t>
            </w:r>
            <w:r>
              <w:rPr>
                <w:rFonts w:hint="eastAsia"/>
                <w:color w:val="auto"/>
                <w:sz w:val="22"/>
                <w:szCs w:val="22"/>
              </w:rPr>
              <w:t>及</w:t>
            </w:r>
            <w:r>
              <w:rPr>
                <w:color w:val="auto"/>
                <w:sz w:val="22"/>
                <w:szCs w:val="22"/>
              </w:rPr>
              <w:t>申报</w:t>
            </w:r>
            <w:r>
              <w:rPr>
                <w:rFonts w:hint="eastAsia"/>
                <w:color w:val="auto"/>
                <w:sz w:val="22"/>
                <w:szCs w:val="22"/>
              </w:rPr>
              <w:t>，</w:t>
            </w:r>
            <w:r>
              <w:rPr>
                <w:color w:val="auto"/>
                <w:sz w:val="22"/>
                <w:szCs w:val="22"/>
              </w:rPr>
              <w:t>则</w:t>
            </w:r>
            <w:r>
              <w:rPr>
                <w:rFonts w:hint="eastAsia"/>
                <w:color w:val="auto"/>
                <w:sz w:val="22"/>
                <w:szCs w:val="22"/>
              </w:rPr>
              <w:t>采购人支付合同约定的咨询费的60%作为补偿。</w:t>
            </w:r>
          </w:p>
        </w:tc>
      </w:tr>
    </w:tbl>
    <w:p/>
    <w:p>
      <w:pPr>
        <w:pStyle w:val="4"/>
      </w:pPr>
      <w:r>
        <w:br w:type="page"/>
      </w:r>
    </w:p>
    <w:p>
      <w:pPr>
        <w:pStyle w:val="4"/>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 2023-002</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9"/>
        <w:tblW w:w="100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54"/>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186" w:type="dxa"/>
          <w:cantSplit/>
          <w:trHeight w:val="567" w:hRule="atLeast"/>
        </w:trPr>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bookmarkStart w:id="2" w:name="_Toc211243319"/>
      <w:bookmarkStart w:id="3"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2"/>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3"/>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4" w:name="_Toc211248420"/>
      <w:r>
        <w:rPr>
          <w:rFonts w:eastAsia="黑体"/>
          <w:color w:val="000000"/>
          <w:sz w:val="30"/>
          <w:szCs w:val="30"/>
        </w:rPr>
        <w:t>商务条款响应/偏离表</w:t>
      </w:r>
      <w:bookmarkEnd w:id="4"/>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5" w:name="_Toc100052473"/>
      <w:bookmarkStart w:id="6" w:name="_Toc10107490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5"/>
      <w:bookmarkEnd w:id="6"/>
    </w:p>
    <w:tbl>
      <w:tblPr>
        <w:tblStyle w:val="1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7" w:name="_Toc73521707"/>
      <w:bookmarkStart w:id="8" w:name="_Toc73521619"/>
      <w:bookmarkStart w:id="9" w:name="_Toc100052474"/>
      <w:bookmarkStart w:id="10" w:name="_Toc101074904"/>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7"/>
      <w:bookmarkEnd w:id="8"/>
      <w:bookmarkEnd w:id="9"/>
      <w:bookmarkEnd w:id="10"/>
    </w:p>
    <w:tbl>
      <w:tblPr>
        <w:tblStyle w:val="1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73521708"/>
      <w:bookmarkStart w:id="12" w:name="_Toc73521620"/>
      <w:bookmarkStart w:id="13" w:name="_Toc100052475"/>
      <w:bookmarkStart w:id="14" w:name="_Toc10107490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1"/>
      <w:bookmarkEnd w:id="12"/>
      <w:bookmarkEnd w:id="13"/>
      <w:bookmarkEnd w:id="14"/>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5" w:name="_Toc201742861"/>
      <w:bookmarkStart w:id="16" w:name="_Toc201401658"/>
      <w:bookmarkStart w:id="17" w:name="_Toc201719118"/>
      <w:bookmarkStart w:id="18" w:name="_Toc201997946"/>
      <w:bookmarkStart w:id="19" w:name="_Toc201743116"/>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7"/>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7"/>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7"/>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15"/>
    <w:bookmarkEnd w:id="16"/>
    <w:bookmarkEnd w:id="17"/>
    <w:bookmarkEnd w:id="18"/>
    <w:bookmarkEnd w:id="19"/>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3</w:t>
    </w:r>
    <w:r>
      <w:rPr>
        <w:lang w:val="zh-CN"/>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8278" w:y="-31"/>
      <w:rPr>
        <w:rStyle w:val="23"/>
      </w:rPr>
    </w:pPr>
    <w:r>
      <w:fldChar w:fldCharType="begin"/>
    </w:r>
    <w:r>
      <w:rPr>
        <w:rStyle w:val="23"/>
      </w:rPr>
      <w:instrText xml:space="preserve">PAGE  </w:instrText>
    </w:r>
    <w:r>
      <w:fldChar w:fldCharType="separate"/>
    </w:r>
    <w:r>
      <w:rPr>
        <w:rStyle w:val="23"/>
      </w:rPr>
      <w:t>12</w:t>
    </w:r>
    <w: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5"/>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A064F"/>
    <w:rsid w:val="008A3DF3"/>
    <w:rsid w:val="008B15D8"/>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D5E4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0E74"/>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87333"/>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97F08"/>
    <w:rsid w:val="00FA544A"/>
    <w:rsid w:val="00FA5508"/>
    <w:rsid w:val="00FA5876"/>
    <w:rsid w:val="00FB526A"/>
    <w:rsid w:val="00FB56FB"/>
    <w:rsid w:val="00FC22EC"/>
    <w:rsid w:val="00FC2535"/>
    <w:rsid w:val="00FC4AAF"/>
    <w:rsid w:val="00FD2B69"/>
    <w:rsid w:val="00FD3175"/>
    <w:rsid w:val="00FD3AC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0D0154"/>
    <w:rsid w:val="0213568A"/>
    <w:rsid w:val="02EE0222"/>
    <w:rsid w:val="036C2938"/>
    <w:rsid w:val="04B55E07"/>
    <w:rsid w:val="04D7648A"/>
    <w:rsid w:val="04FA14E6"/>
    <w:rsid w:val="0531362C"/>
    <w:rsid w:val="054D6974"/>
    <w:rsid w:val="057207F6"/>
    <w:rsid w:val="05FC6B91"/>
    <w:rsid w:val="0733135D"/>
    <w:rsid w:val="07732DB2"/>
    <w:rsid w:val="07B8320C"/>
    <w:rsid w:val="07CF0ACE"/>
    <w:rsid w:val="088559FA"/>
    <w:rsid w:val="09285CF7"/>
    <w:rsid w:val="09687692"/>
    <w:rsid w:val="098705EE"/>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25C0D4E"/>
    <w:rsid w:val="13545A8B"/>
    <w:rsid w:val="13840F17"/>
    <w:rsid w:val="13992498"/>
    <w:rsid w:val="140F5863"/>
    <w:rsid w:val="14600EFD"/>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2E4030"/>
    <w:rsid w:val="1EFF09E6"/>
    <w:rsid w:val="1FA13095"/>
    <w:rsid w:val="1FE040BC"/>
    <w:rsid w:val="20152CE5"/>
    <w:rsid w:val="204801C9"/>
    <w:rsid w:val="205B011C"/>
    <w:rsid w:val="20F304B0"/>
    <w:rsid w:val="21916F90"/>
    <w:rsid w:val="22314524"/>
    <w:rsid w:val="228C71CA"/>
    <w:rsid w:val="22DE11E6"/>
    <w:rsid w:val="243D39CE"/>
    <w:rsid w:val="249C6AFD"/>
    <w:rsid w:val="25D450BA"/>
    <w:rsid w:val="25D56523"/>
    <w:rsid w:val="26745129"/>
    <w:rsid w:val="26E116DC"/>
    <w:rsid w:val="273322B0"/>
    <w:rsid w:val="277B4CFD"/>
    <w:rsid w:val="28752B19"/>
    <w:rsid w:val="2876124D"/>
    <w:rsid w:val="28AA01F1"/>
    <w:rsid w:val="29BD6A16"/>
    <w:rsid w:val="2A377783"/>
    <w:rsid w:val="2A6266E9"/>
    <w:rsid w:val="2A6C54A9"/>
    <w:rsid w:val="2D21664A"/>
    <w:rsid w:val="2D6900FF"/>
    <w:rsid w:val="2F34651F"/>
    <w:rsid w:val="2F425E94"/>
    <w:rsid w:val="2FB81F38"/>
    <w:rsid w:val="2FFE2912"/>
    <w:rsid w:val="30BC2EBC"/>
    <w:rsid w:val="31FF72AF"/>
    <w:rsid w:val="32523601"/>
    <w:rsid w:val="32781A64"/>
    <w:rsid w:val="32782FFB"/>
    <w:rsid w:val="32B86F81"/>
    <w:rsid w:val="33CC15C4"/>
    <w:rsid w:val="33CE26DF"/>
    <w:rsid w:val="33FA3136"/>
    <w:rsid w:val="345B7515"/>
    <w:rsid w:val="353577A9"/>
    <w:rsid w:val="357B0EFD"/>
    <w:rsid w:val="35CA2DB9"/>
    <w:rsid w:val="35F41D4F"/>
    <w:rsid w:val="361E7E3B"/>
    <w:rsid w:val="3621266D"/>
    <w:rsid w:val="36974B68"/>
    <w:rsid w:val="375C2773"/>
    <w:rsid w:val="37AF626F"/>
    <w:rsid w:val="384C47A3"/>
    <w:rsid w:val="39031BEB"/>
    <w:rsid w:val="39072F88"/>
    <w:rsid w:val="391C7C77"/>
    <w:rsid w:val="394D7D0F"/>
    <w:rsid w:val="399E4DCC"/>
    <w:rsid w:val="3B5330E7"/>
    <w:rsid w:val="3BD85452"/>
    <w:rsid w:val="3BF6596E"/>
    <w:rsid w:val="3C125C3B"/>
    <w:rsid w:val="3CC86BE5"/>
    <w:rsid w:val="3D132062"/>
    <w:rsid w:val="3D286B4F"/>
    <w:rsid w:val="3D83213E"/>
    <w:rsid w:val="3DDB4F84"/>
    <w:rsid w:val="3E726C3E"/>
    <w:rsid w:val="40A83A07"/>
    <w:rsid w:val="416F41D1"/>
    <w:rsid w:val="41BA0644"/>
    <w:rsid w:val="41F05DAA"/>
    <w:rsid w:val="428A76BF"/>
    <w:rsid w:val="4388454E"/>
    <w:rsid w:val="438A277C"/>
    <w:rsid w:val="43A1334F"/>
    <w:rsid w:val="446C47E5"/>
    <w:rsid w:val="45C85E8B"/>
    <w:rsid w:val="45F224BA"/>
    <w:rsid w:val="46FD5BE1"/>
    <w:rsid w:val="478E1DDE"/>
    <w:rsid w:val="47E56E6A"/>
    <w:rsid w:val="481923FF"/>
    <w:rsid w:val="48E21409"/>
    <w:rsid w:val="490579E7"/>
    <w:rsid w:val="493A417A"/>
    <w:rsid w:val="4950692B"/>
    <w:rsid w:val="497146B0"/>
    <w:rsid w:val="4A490D8F"/>
    <w:rsid w:val="4A5C465E"/>
    <w:rsid w:val="4AB26D7B"/>
    <w:rsid w:val="4AB9636A"/>
    <w:rsid w:val="4B0029CC"/>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A15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9EB18B6"/>
    <w:rsid w:val="5A4D3BF6"/>
    <w:rsid w:val="5AA0203F"/>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12759"/>
    <w:rsid w:val="6C2D715B"/>
    <w:rsid w:val="6CCC2F03"/>
    <w:rsid w:val="6D090C4C"/>
    <w:rsid w:val="6D7C1A08"/>
    <w:rsid w:val="6D7E3DB9"/>
    <w:rsid w:val="6EBC525F"/>
    <w:rsid w:val="6EED19D9"/>
    <w:rsid w:val="6EEE2197"/>
    <w:rsid w:val="6EEF7E4F"/>
    <w:rsid w:val="6F2D12A0"/>
    <w:rsid w:val="70F03E4F"/>
    <w:rsid w:val="718176B0"/>
    <w:rsid w:val="719954F2"/>
    <w:rsid w:val="72BB566D"/>
    <w:rsid w:val="72FE0135"/>
    <w:rsid w:val="73021E25"/>
    <w:rsid w:val="733B0CC7"/>
    <w:rsid w:val="75017925"/>
    <w:rsid w:val="75BF5C57"/>
    <w:rsid w:val="76287E23"/>
    <w:rsid w:val="76437394"/>
    <w:rsid w:val="79A732D1"/>
    <w:rsid w:val="79BA4A36"/>
    <w:rsid w:val="7A5D6417"/>
    <w:rsid w:val="7AD6416D"/>
    <w:rsid w:val="7B616DAE"/>
    <w:rsid w:val="7BCD7517"/>
    <w:rsid w:val="7BFA4470"/>
    <w:rsid w:val="7C0039D3"/>
    <w:rsid w:val="7C6C6D2C"/>
    <w:rsid w:val="7C7163B3"/>
    <w:rsid w:val="7D45640A"/>
    <w:rsid w:val="7DE6504F"/>
    <w:rsid w:val="7DEC76CD"/>
    <w:rsid w:val="7F3E3C42"/>
    <w:rsid w:val="7F751639"/>
    <w:rsid w:val="7FD70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qFormat/>
    <w:uiPriority w:val="0"/>
    <w:pPr>
      <w:spacing w:before="240" w:after="240"/>
      <w:outlineLvl w:val="2"/>
    </w:pPr>
    <w:rPr>
      <w:b/>
      <w:sz w:val="24"/>
    </w:rPr>
  </w:style>
  <w:style w:type="character" w:default="1" w:styleId="21">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uiPriority w:val="39"/>
    <w:pPr>
      <w:tabs>
        <w:tab w:val="right" w:leader="dot" w:pos="8296"/>
      </w:tabs>
      <w:ind w:left="210"/>
      <w:jc w:val="left"/>
    </w:pPr>
    <w:rPr>
      <w:smallCaps/>
    </w:rPr>
  </w:style>
  <w:style w:type="paragraph" w:styleId="6">
    <w:name w:val="Normal Indent"/>
    <w:basedOn w:val="1"/>
    <w:next w:val="1"/>
    <w:autoRedefine/>
    <w:qFormat/>
    <w:uiPriority w:val="0"/>
    <w:pPr>
      <w:ind w:firstLine="420"/>
    </w:pPr>
  </w:style>
  <w:style w:type="paragraph" w:styleId="7">
    <w:name w:val="annotation text"/>
    <w:basedOn w:val="1"/>
    <w:link w:val="50"/>
    <w:autoRedefine/>
    <w:qFormat/>
    <w:uiPriority w:val="0"/>
    <w:pPr>
      <w:jc w:val="left"/>
    </w:pPr>
  </w:style>
  <w:style w:type="paragraph" w:styleId="8">
    <w:name w:val="Body Text"/>
    <w:basedOn w:val="1"/>
    <w:next w:val="9"/>
    <w:autoRedefine/>
    <w:qFormat/>
    <w:uiPriority w:val="0"/>
    <w:pPr>
      <w:spacing w:after="120"/>
    </w:pPr>
    <w:rPr>
      <w:kern w:val="0"/>
      <w:sz w:val="20"/>
    </w:rPr>
  </w:style>
  <w:style w:type="paragraph" w:styleId="9">
    <w:name w:val="Body Text First Indent"/>
    <w:basedOn w:val="8"/>
    <w:autoRedefine/>
    <w:semiHidden/>
    <w:unhideWhenUsed/>
    <w:qFormat/>
    <w:uiPriority w:val="99"/>
    <w:pPr>
      <w:ind w:firstLine="420" w:firstLineChars="100"/>
    </w:pPr>
    <w:rPr>
      <w:sz w:val="21"/>
    </w:rPr>
  </w:style>
  <w:style w:type="paragraph" w:styleId="10">
    <w:name w:val="Body Text Indent"/>
    <w:basedOn w:val="1"/>
    <w:autoRedefine/>
    <w:qFormat/>
    <w:uiPriority w:val="0"/>
    <w:pPr>
      <w:spacing w:line="360" w:lineRule="auto"/>
      <w:ind w:left="720" w:hanging="720" w:hangingChars="300"/>
    </w:pPr>
    <w:rPr>
      <w:sz w:val="24"/>
    </w:rPr>
  </w:style>
  <w:style w:type="paragraph" w:styleId="11">
    <w:name w:val="Plain Text"/>
    <w:basedOn w:val="1"/>
    <w:link w:val="29"/>
    <w:autoRedefine/>
    <w:qFormat/>
    <w:uiPriority w:val="0"/>
    <w:rPr>
      <w:rFonts w:ascii="宋体" w:hAnsi="Courier New" w:cs="Courier New"/>
      <w:szCs w:val="21"/>
    </w:rPr>
  </w:style>
  <w:style w:type="paragraph" w:styleId="12">
    <w:name w:val="Date"/>
    <w:basedOn w:val="1"/>
    <w:next w:val="1"/>
    <w:qFormat/>
    <w:uiPriority w:val="0"/>
  </w:style>
  <w:style w:type="paragraph" w:styleId="13">
    <w:name w:val="Body Text Indent 2"/>
    <w:basedOn w:val="1"/>
    <w:qFormat/>
    <w:uiPriority w:val="0"/>
    <w:pPr>
      <w:spacing w:line="360" w:lineRule="auto"/>
      <w:ind w:left="502" w:hanging="502" w:hangingChars="276"/>
    </w:pPr>
    <w:rPr>
      <w:rFonts w:ascii="仿宋_GB2312"/>
      <w:kern w:val="0"/>
      <w:sz w:val="20"/>
    </w:rPr>
  </w:style>
  <w:style w:type="paragraph" w:styleId="14">
    <w:name w:val="Balloon Text"/>
    <w:basedOn w:val="1"/>
    <w:link w:val="52"/>
    <w:qFormat/>
    <w:uiPriority w:val="0"/>
    <w:rPr>
      <w:sz w:val="18"/>
      <w:szCs w:val="18"/>
    </w:rPr>
  </w:style>
  <w:style w:type="paragraph" w:styleId="15">
    <w:name w:val="footer"/>
    <w:basedOn w:val="1"/>
    <w:link w:val="33"/>
    <w:qFormat/>
    <w:uiPriority w:val="99"/>
    <w:pPr>
      <w:tabs>
        <w:tab w:val="center" w:pos="4153"/>
        <w:tab w:val="right" w:pos="8306"/>
      </w:tabs>
      <w:snapToGrid w:val="0"/>
      <w:jc w:val="left"/>
    </w:pPr>
    <w:rPr>
      <w:sz w:val="18"/>
      <w:szCs w:val="18"/>
    </w:rPr>
  </w:style>
  <w:style w:type="paragraph" w:styleId="16">
    <w:name w:val="header"/>
    <w:basedOn w:val="1"/>
    <w:link w:val="32"/>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annotation subject"/>
    <w:basedOn w:val="7"/>
    <w:next w:val="7"/>
    <w:link w:val="51"/>
    <w:autoRedefine/>
    <w:qFormat/>
    <w:uiPriority w:val="0"/>
    <w:rPr>
      <w:b/>
      <w:bCs/>
    </w:rPr>
  </w:style>
  <w:style w:type="table" w:styleId="20">
    <w:name w:val="Table Grid"/>
    <w:basedOn w:val="19"/>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Strong"/>
    <w:basedOn w:val="21"/>
    <w:autoRedefine/>
    <w:qFormat/>
    <w:uiPriority w:val="22"/>
    <w:rPr>
      <w:b/>
      <w:bCs/>
    </w:rPr>
  </w:style>
  <w:style w:type="character" w:styleId="23">
    <w:name w:val="page number"/>
    <w:basedOn w:val="21"/>
    <w:autoRedefine/>
    <w:semiHidden/>
    <w:qFormat/>
    <w:uiPriority w:val="0"/>
  </w:style>
  <w:style w:type="character" w:styleId="24">
    <w:name w:val="Hyperlink"/>
    <w:basedOn w:val="21"/>
    <w:qFormat/>
    <w:uiPriority w:val="0"/>
    <w:rPr>
      <w:color w:val="0000FF"/>
      <w:u w:val="single"/>
    </w:rPr>
  </w:style>
  <w:style w:type="character" w:styleId="25">
    <w:name w:val="annotation reference"/>
    <w:basedOn w:val="21"/>
    <w:autoRedefine/>
    <w:qFormat/>
    <w:uiPriority w:val="0"/>
    <w:rPr>
      <w:sz w:val="21"/>
      <w:szCs w:val="21"/>
    </w:rPr>
  </w:style>
  <w:style w:type="paragraph" w:customStyle="1" w:styleId="26">
    <w:name w:val="表格文字"/>
    <w:basedOn w:val="1"/>
    <w:qFormat/>
    <w:uiPriority w:val="0"/>
    <w:pPr>
      <w:spacing w:before="25" w:after="25"/>
    </w:pPr>
    <w:rPr>
      <w:bCs/>
      <w:spacing w:val="10"/>
      <w:sz w:val="24"/>
    </w:rPr>
  </w:style>
  <w:style w:type="paragraph" w:customStyle="1" w:styleId="27">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character" w:customStyle="1" w:styleId="28">
    <w:name w:val="标题 3 Char"/>
    <w:basedOn w:val="21"/>
    <w:link w:val="5"/>
    <w:autoRedefine/>
    <w:qFormat/>
    <w:uiPriority w:val="0"/>
    <w:rPr>
      <w:b/>
      <w:kern w:val="2"/>
      <w:sz w:val="24"/>
    </w:rPr>
  </w:style>
  <w:style w:type="character" w:customStyle="1" w:styleId="29">
    <w:name w:val="纯文本 Char"/>
    <w:basedOn w:val="21"/>
    <w:link w:val="11"/>
    <w:qFormat/>
    <w:uiPriority w:val="0"/>
    <w:rPr>
      <w:rFonts w:ascii="宋体" w:hAnsi="Courier New" w:cs="Courier New"/>
      <w:kern w:val="2"/>
      <w:sz w:val="21"/>
      <w:szCs w:val="21"/>
    </w:rPr>
  </w:style>
  <w:style w:type="paragraph" w:customStyle="1" w:styleId="30">
    <w:name w:val="Char"/>
    <w:basedOn w:val="1"/>
    <w:autoRedefine/>
    <w:qFormat/>
    <w:uiPriority w:val="0"/>
    <w:rPr>
      <w:rFonts w:ascii="仿宋_GB2312" w:eastAsia="仿宋_GB2312"/>
      <w:b/>
      <w:sz w:val="32"/>
      <w:szCs w:val="32"/>
    </w:rPr>
  </w:style>
  <w:style w:type="paragraph" w:customStyle="1" w:styleId="31">
    <w:name w:val="样式 (西文) 宋体 行距: 1.5 倍行距"/>
    <w:basedOn w:val="1"/>
    <w:qFormat/>
    <w:uiPriority w:val="0"/>
    <w:pPr>
      <w:spacing w:line="360" w:lineRule="auto"/>
    </w:pPr>
    <w:rPr>
      <w:rFonts w:ascii="宋体" w:hAnsi="宋体" w:cs="宋体"/>
    </w:rPr>
  </w:style>
  <w:style w:type="character" w:customStyle="1" w:styleId="32">
    <w:name w:val="页眉 Char"/>
    <w:basedOn w:val="21"/>
    <w:link w:val="16"/>
    <w:autoRedefine/>
    <w:qFormat/>
    <w:uiPriority w:val="0"/>
    <w:rPr>
      <w:kern w:val="2"/>
      <w:sz w:val="18"/>
      <w:szCs w:val="18"/>
    </w:rPr>
  </w:style>
  <w:style w:type="character" w:customStyle="1" w:styleId="33">
    <w:name w:val="页脚 Char"/>
    <w:basedOn w:val="21"/>
    <w:link w:val="15"/>
    <w:autoRedefine/>
    <w:qFormat/>
    <w:uiPriority w:val="99"/>
    <w:rPr>
      <w:kern w:val="2"/>
      <w:sz w:val="18"/>
      <w:szCs w:val="18"/>
    </w:rPr>
  </w:style>
  <w:style w:type="character" w:customStyle="1" w:styleId="34">
    <w:name w:val="标题 2 Char"/>
    <w:basedOn w:val="21"/>
    <w:link w:val="4"/>
    <w:autoRedefine/>
    <w:semiHidden/>
    <w:qFormat/>
    <w:uiPriority w:val="0"/>
    <w:rPr>
      <w:rFonts w:asciiTheme="majorHAnsi" w:hAnsiTheme="majorHAnsi" w:eastAsiaTheme="majorEastAsia" w:cstheme="majorBidi"/>
      <w:b/>
      <w:bCs/>
      <w:kern w:val="2"/>
      <w:sz w:val="32"/>
      <w:szCs w:val="32"/>
    </w:rPr>
  </w:style>
  <w:style w:type="paragraph" w:customStyle="1" w:styleId="35">
    <w:name w:val="列表段落1"/>
    <w:basedOn w:val="1"/>
    <w:autoRedefine/>
    <w:qFormat/>
    <w:uiPriority w:val="34"/>
    <w:pPr>
      <w:ind w:firstLine="420" w:firstLineChars="200"/>
    </w:pPr>
    <w:rPr>
      <w:rFonts w:ascii="Calibri" w:hAnsi="Calibri"/>
      <w:szCs w:val="22"/>
    </w:rPr>
  </w:style>
  <w:style w:type="character" w:customStyle="1" w:styleId="36">
    <w:name w:val="标题 1 Char"/>
    <w:basedOn w:val="21"/>
    <w:link w:val="3"/>
    <w:autoRedefine/>
    <w:qFormat/>
    <w:uiPriority w:val="0"/>
    <w:rPr>
      <w:b/>
      <w:bCs/>
      <w:kern w:val="44"/>
      <w:sz w:val="44"/>
      <w:szCs w:val="44"/>
    </w:rPr>
  </w:style>
  <w:style w:type="paragraph" w:customStyle="1" w:styleId="37">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8">
    <w:name w:val="_Style 1"/>
    <w:basedOn w:val="1"/>
    <w:autoRedefine/>
    <w:qFormat/>
    <w:uiPriority w:val="34"/>
    <w:pPr>
      <w:ind w:firstLine="420" w:firstLineChars="200"/>
    </w:pPr>
  </w:style>
  <w:style w:type="paragraph" w:customStyle="1" w:styleId="39">
    <w:name w:val="样式3"/>
    <w:basedOn w:val="1"/>
    <w:qFormat/>
    <w:uiPriority w:val="0"/>
    <w:pPr>
      <w:spacing w:line="0" w:lineRule="atLeast"/>
      <w:outlineLvl w:val="0"/>
    </w:pPr>
    <w:rPr>
      <w:rFonts w:ascii="宋体" w:hAnsi="Courier New"/>
      <w:sz w:val="28"/>
      <w:szCs w:val="24"/>
    </w:rPr>
  </w:style>
  <w:style w:type="paragraph" w:customStyle="1" w:styleId="40">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41">
    <w:name w:val="招标文件样式2"/>
    <w:basedOn w:val="1"/>
    <w:autoRedefine/>
    <w:qFormat/>
    <w:uiPriority w:val="99"/>
    <w:pPr>
      <w:jc w:val="center"/>
      <w:outlineLvl w:val="0"/>
    </w:pPr>
    <w:rPr>
      <w:rFonts w:ascii="宋体" w:hAnsi="宋体"/>
      <w:b/>
      <w:sz w:val="28"/>
      <w:szCs w:val="28"/>
    </w:rPr>
  </w:style>
  <w:style w:type="paragraph" w:customStyle="1" w:styleId="42">
    <w:name w:val="列出段落1"/>
    <w:basedOn w:val="1"/>
    <w:autoRedefine/>
    <w:qFormat/>
    <w:uiPriority w:val="99"/>
    <w:pPr>
      <w:ind w:firstLine="420" w:firstLineChars="200"/>
    </w:pPr>
  </w:style>
  <w:style w:type="paragraph" w:customStyle="1" w:styleId="43">
    <w:name w:val="List Paragraph1"/>
    <w:basedOn w:val="1"/>
    <w:autoRedefine/>
    <w:qFormat/>
    <w:uiPriority w:val="99"/>
    <w:pPr>
      <w:ind w:firstLine="420" w:firstLineChars="200"/>
    </w:pPr>
  </w:style>
  <w:style w:type="paragraph" w:customStyle="1" w:styleId="44">
    <w:name w:val="msolistparagraph"/>
    <w:basedOn w:val="1"/>
    <w:autoRedefine/>
    <w:qFormat/>
    <w:uiPriority w:val="0"/>
    <w:pPr>
      <w:adjustRightInd w:val="0"/>
      <w:snapToGrid w:val="0"/>
      <w:ind w:firstLine="420" w:firstLineChars="200"/>
    </w:pPr>
    <w:rPr>
      <w:sz w:val="28"/>
      <w:szCs w:val="24"/>
    </w:rPr>
  </w:style>
  <w:style w:type="character" w:customStyle="1" w:styleId="45">
    <w:name w:val="font31"/>
    <w:basedOn w:val="21"/>
    <w:autoRedefine/>
    <w:qFormat/>
    <w:uiPriority w:val="0"/>
    <w:rPr>
      <w:rFonts w:hint="eastAsia" w:ascii="宋体" w:hAnsi="宋体" w:eastAsia="宋体" w:cs="Times New Roman"/>
      <w:color w:val="000000"/>
      <w:sz w:val="20"/>
      <w:szCs w:val="20"/>
      <w:u w:val="none"/>
    </w:rPr>
  </w:style>
  <w:style w:type="character" w:customStyle="1" w:styleId="46">
    <w:name w:val="font21"/>
    <w:basedOn w:val="21"/>
    <w:qFormat/>
    <w:uiPriority w:val="0"/>
    <w:rPr>
      <w:rFonts w:hint="eastAsia" w:ascii="宋体" w:hAnsi="宋体" w:eastAsia="宋体" w:cs="宋体"/>
      <w:color w:val="000000"/>
      <w:sz w:val="18"/>
      <w:szCs w:val="18"/>
      <w:u w:val="none"/>
    </w:rPr>
  </w:style>
  <w:style w:type="paragraph" w:customStyle="1" w:styleId="4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48">
    <w:name w:val="List Paragraph"/>
    <w:basedOn w:val="1"/>
    <w:autoRedefine/>
    <w:qFormat/>
    <w:uiPriority w:val="34"/>
    <w:pPr>
      <w:ind w:firstLine="420" w:firstLineChars="200"/>
    </w:pPr>
    <w:rPr>
      <w:rFonts w:ascii="Calibri" w:hAnsi="Calibri"/>
      <w:szCs w:val="22"/>
    </w:rPr>
  </w:style>
  <w:style w:type="paragraph" w:customStyle="1" w:styleId="49">
    <w:name w:val="Table Paragraph"/>
    <w:basedOn w:val="1"/>
    <w:qFormat/>
    <w:uiPriority w:val="1"/>
    <w:pPr>
      <w:jc w:val="left"/>
    </w:pPr>
    <w:rPr>
      <w:rFonts w:ascii="等线" w:hAnsi="等线" w:eastAsia="等线"/>
      <w:kern w:val="0"/>
      <w:sz w:val="22"/>
      <w:szCs w:val="22"/>
      <w:lang w:eastAsia="en-US"/>
    </w:rPr>
  </w:style>
  <w:style w:type="character" w:customStyle="1" w:styleId="50">
    <w:name w:val="批注文字 Char"/>
    <w:basedOn w:val="21"/>
    <w:link w:val="7"/>
    <w:autoRedefine/>
    <w:qFormat/>
    <w:uiPriority w:val="0"/>
    <w:rPr>
      <w:kern w:val="2"/>
      <w:sz w:val="21"/>
    </w:rPr>
  </w:style>
  <w:style w:type="character" w:customStyle="1" w:styleId="51">
    <w:name w:val="批注主题 Char"/>
    <w:basedOn w:val="50"/>
    <w:link w:val="18"/>
    <w:autoRedefine/>
    <w:qFormat/>
    <w:uiPriority w:val="0"/>
    <w:rPr>
      <w:b/>
      <w:bCs/>
      <w:kern w:val="2"/>
      <w:sz w:val="21"/>
    </w:rPr>
  </w:style>
  <w:style w:type="character" w:customStyle="1" w:styleId="52">
    <w:name w:val="批注框文本 Char"/>
    <w:basedOn w:val="21"/>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19A07-0EDD-4B0C-A6F9-BB19FDC71C8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3896</Words>
  <Characters>3955</Characters>
  <Lines>40</Lines>
  <Paragraphs>11</Paragraphs>
  <TotalTime>0</TotalTime>
  <ScaleCrop>false</ScaleCrop>
  <LinksUpToDate>false</LinksUpToDate>
  <CharactersWithSpaces>4807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2023-03-15T03:53:00Z</dcterms:created>
  <dc:creator>User</dc:creator>
  <cp:lastModifiedBy>小陈</cp:lastModifiedBy>
  <cp:lastPrinted>2021-06-21T07:45:00Z</cp:lastPrinted>
  <dcterms:modified xsi:type="dcterms:W3CDTF">2023-12-21T09:56:06Z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F1FE24974682495D84D58F0CAB9E9E97_13</vt:lpwstr>
  </property>
</Properties>
</file>