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w:t>
            </w:r>
            <w:bookmarkStart w:id="15" w:name="_GoBack"/>
            <w:bookmarkEnd w:id="15"/>
            <w:r>
              <w:rPr>
                <w:rFonts w:hint="eastAsia"/>
              </w:rPr>
              <w:t>分，其他参数每负偏离一项扣</w:t>
            </w:r>
            <w:r>
              <w:rPr>
                <w:rFonts w:hint="eastAsia"/>
                <w:lang w:val="en-US" w:eastAsia="zh-CN"/>
              </w:rPr>
              <w:t>3</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2023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401658"/>
      <w:bookmarkStart w:id="3" w:name="_Toc201743116"/>
      <w:bookmarkStart w:id="4" w:name="_Toc201997946"/>
      <w:bookmarkStart w:id="5" w:name="_Toc201742861"/>
      <w:bookmarkStart w:id="6" w:name="_Toc201719118"/>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9"/>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2"/>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3"/>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3"/>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3"/>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627"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344"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干燥柜</w:t>
                  </w:r>
                </w:p>
              </w:tc>
              <w:tc>
                <w:tcPr>
                  <w:tcW w:w="1344"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19.9万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8827" w:type="dxa"/>
                  <w:gridSpan w:val="5"/>
                  <w:tcBorders>
                    <w:top w:val="single" w:color="FBF1D7" w:sz="6" w:space="0"/>
                    <w:left w:val="single" w:color="FFFFFF" w:sz="6" w:space="0"/>
                    <w:bottom w:val="single" w:color="E9AD1D" w:sz="0" w:space="0"/>
                    <w:right w:val="single" w:color="FFFFFF" w:sz="0" w:space="0"/>
                  </w:tcBorders>
                  <w:shd w:val="clear" w:color="auto" w:fill="FBF1D7"/>
                  <w:noWrap w:val="0"/>
                  <w:vAlign w:val="center"/>
                </w:tcPr>
                <w:p>
                  <w:pPr>
                    <w:pStyle w:val="2"/>
                    <w:jc w:val="left"/>
                    <w:rPr>
                      <w:rFonts w:hint="default"/>
                      <w:color w:val="000000"/>
                      <w:lang w:val="en-US" w:eastAsia="zh-CN"/>
                    </w:rPr>
                  </w:pP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rPr>
                <w:rFonts w:hint="eastAsia" w:eastAsia="宋体"/>
                <w:color w:val="FF0000"/>
                <w:lang w:eastAsia="zh-CN"/>
              </w:rPr>
            </w:pPr>
            <w:r>
              <w:rPr>
                <w:rFonts w:hint="eastAsia"/>
                <w:color w:val="FF0000"/>
              </w:rPr>
              <w:t>▲</w:t>
            </w:r>
            <w:r>
              <w:rPr>
                <w:rFonts w:hint="eastAsia"/>
              </w:rPr>
              <w:t>1</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lang w:eastAsia="zh-CN"/>
              </w:rPr>
            </w:pPr>
            <w:r>
              <w:rPr>
                <w:rFonts w:hint="eastAsia" w:ascii="宋体" w:hAnsi="宋体" w:cs="宋体"/>
                <w:bCs/>
                <w:sz w:val="24"/>
              </w:rPr>
              <w:t>高温干燥内舱有效容积≥</w:t>
            </w:r>
            <w:r>
              <w:rPr>
                <w:rFonts w:ascii="宋体" w:hAnsi="宋体" w:cs="宋体"/>
                <w:bCs/>
                <w:sz w:val="24"/>
              </w:rPr>
              <w:t>530L</w:t>
            </w:r>
            <w:r>
              <w:rPr>
                <w:rFonts w:hint="eastAsia" w:ascii="宋体" w:hAnsi="宋体" w:cs="宋体"/>
                <w:bCs/>
                <w:sz w:val="24"/>
              </w:rPr>
              <w:t>，</w:t>
            </w:r>
            <w:r>
              <w:rPr>
                <w:rFonts w:hint="eastAsia" w:ascii="宋体" w:hAnsi="宋体" w:cs="宋体"/>
                <w:spacing w:val="-5"/>
                <w:sz w:val="24"/>
                <w:szCs w:val="24"/>
              </w:rPr>
              <w:t>可一次性处理</w:t>
            </w:r>
            <w:r>
              <w:rPr>
                <w:rFonts w:hint="eastAsia" w:ascii="宋体" w:hAnsi="宋体" w:cs="宋体"/>
                <w:spacing w:val="-25"/>
                <w:sz w:val="24"/>
                <w:szCs w:val="24"/>
              </w:rPr>
              <w:t xml:space="preserve"> ≥</w:t>
            </w:r>
            <w:r>
              <w:rPr>
                <w:rFonts w:hint="eastAsia" w:ascii="宋体" w:hAnsi="宋体" w:cs="宋体"/>
                <w:spacing w:val="-5"/>
                <w:sz w:val="24"/>
                <w:szCs w:val="24"/>
              </w:rPr>
              <w:t>16根管道及≥</w:t>
            </w:r>
            <w:r>
              <w:rPr>
                <w:rFonts w:hint="eastAsia" w:ascii="宋体" w:hAnsi="宋体" w:cs="宋体"/>
                <w:spacing w:val="-41"/>
                <w:sz w:val="24"/>
                <w:szCs w:val="24"/>
              </w:rPr>
              <w:t xml:space="preserve"> </w:t>
            </w:r>
            <w:r>
              <w:rPr>
                <w:rFonts w:hint="eastAsia" w:ascii="宋体" w:hAnsi="宋体" w:cs="宋体"/>
                <w:spacing w:val="-5"/>
                <w:sz w:val="24"/>
                <w:szCs w:val="24"/>
              </w:rPr>
              <w:t>14</w:t>
            </w:r>
            <w:r>
              <w:rPr>
                <w:rFonts w:hint="eastAsia" w:ascii="宋体" w:hAnsi="宋体" w:cs="宋体"/>
                <w:spacing w:val="10"/>
                <w:sz w:val="24"/>
                <w:szCs w:val="24"/>
              </w:rPr>
              <w:t xml:space="preserve"> </w:t>
            </w:r>
            <w:r>
              <w:rPr>
                <w:rFonts w:hint="eastAsia" w:ascii="宋体" w:hAnsi="宋体" w:cs="宋体"/>
                <w:spacing w:val="-5"/>
                <w:sz w:val="24"/>
                <w:szCs w:val="24"/>
              </w:rPr>
              <w:t>个大器械蓝筐。</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color w:val="FF0000"/>
              </w:rPr>
              <w:t>▲</w:t>
            </w:r>
            <w:r>
              <w:rPr>
                <w:rFonts w:hint="eastAsia" w:ascii="宋体" w:hAnsi="宋体" w:cs="宋体"/>
                <w:color w:val="000000"/>
                <w:kern w:val="0"/>
                <w:sz w:val="24"/>
                <w:szCs w:val="24"/>
              </w:rPr>
              <w:t>2</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color w:val="000000" w:themeColor="text1"/>
                <w:kern w:val="0"/>
                <w:sz w:val="24"/>
                <w:szCs w:val="24"/>
                <w:lang w:val="en-US" w:eastAsia="zh-CN" w:bidi="ar-SA"/>
                <w14:textFill>
                  <w14:solidFill>
                    <w14:schemeClr w14:val="tx1"/>
                  </w14:solidFill>
                </w14:textFill>
              </w:rPr>
            </w:pPr>
            <w:r>
              <w:rPr>
                <w:rFonts w:hint="eastAsia" w:ascii="宋体" w:hAnsi="宋体" w:cs="宋体"/>
                <w:sz w:val="24"/>
                <w:szCs w:val="24"/>
              </w:rPr>
              <w:t>温度可调，根据干燥不同器皿进行温度调节。设备本身带有4 种温度调节模式，金属类、塑胶类、玻璃类、其他类共四种干燥模式，可根据器械的种类和材质选择程序，温度自动调节，方便快捷。</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rPr>
                <w:rFonts w:hint="eastAsia" w:ascii="宋体" w:hAnsi="宋体" w:eastAsia="宋体" w:cs="宋体"/>
                <w:color w:val="000000"/>
                <w:kern w:val="0"/>
                <w:sz w:val="24"/>
                <w:szCs w:val="24"/>
                <w:lang w:val="en-US" w:eastAsia="zh-CN"/>
              </w:rPr>
            </w:pPr>
            <w:r>
              <w:rPr>
                <w:rFonts w:hint="eastAsia"/>
                <w:color w:val="FF0000"/>
              </w:rPr>
              <w:t>▲</w:t>
            </w:r>
            <w:r>
              <w:rPr>
                <w:rFonts w:hint="eastAsia" w:ascii="宋体" w:hAnsi="宋体" w:cs="宋体"/>
                <w:color w:val="000000"/>
                <w:kern w:val="0"/>
                <w:sz w:val="24"/>
                <w:szCs w:val="24"/>
              </w:rPr>
              <w:t>3</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sz w:val="24"/>
                <w:szCs w:val="24"/>
              </w:rPr>
            </w:pPr>
            <w:r>
              <w:rPr>
                <w:rFonts w:hint="eastAsia" w:ascii="宋体" w:hAnsi="宋体" w:cs="宋体"/>
                <w:bCs/>
                <w:sz w:val="24"/>
              </w:rPr>
              <w:t>设备舱体内自带有≥</w:t>
            </w:r>
            <w:r>
              <w:rPr>
                <w:rFonts w:ascii="宋体" w:hAnsi="宋体" w:cs="宋体"/>
                <w:bCs/>
                <w:sz w:val="24"/>
              </w:rPr>
              <w:t>9层栏架</w:t>
            </w:r>
            <w:r>
              <w:rPr>
                <w:rFonts w:hint="eastAsia" w:ascii="宋体" w:hAnsi="宋体" w:cs="宋体"/>
                <w:bCs/>
                <w:sz w:val="24"/>
              </w:rPr>
              <w:t>，</w:t>
            </w:r>
            <w:r>
              <w:rPr>
                <w:rFonts w:ascii="宋体" w:hAnsi="宋体" w:cs="宋体"/>
                <w:bCs/>
                <w:sz w:val="24"/>
              </w:rPr>
              <w:t>隔层距离</w:t>
            </w:r>
            <w:r>
              <w:rPr>
                <w:rFonts w:hint="eastAsia" w:ascii="宋体" w:hAnsi="宋体" w:cs="宋体"/>
                <w:bCs/>
                <w:sz w:val="24"/>
              </w:rPr>
              <w:t>不小于</w:t>
            </w:r>
            <w:r>
              <w:rPr>
                <w:rFonts w:ascii="宋体" w:hAnsi="宋体" w:cs="宋体"/>
                <w:bCs/>
                <w:sz w:val="24"/>
              </w:rPr>
              <w:t>140mm</w:t>
            </w:r>
            <w:r>
              <w:rPr>
                <w:rFonts w:hint="eastAsia" w:ascii="宋体" w:hAnsi="宋体" w:cs="宋体"/>
                <w:bCs/>
                <w:sz w:val="24"/>
              </w:rPr>
              <w:t>，具有隔热夹层，防止热量损耗。</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240" w:firstLineChars="100"/>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4</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color w:val="000000"/>
                <w:kern w:val="2"/>
                <w:sz w:val="24"/>
                <w:szCs w:val="24"/>
                <w:lang w:val="en-US" w:eastAsia="zh-CN" w:bidi="ar-SA"/>
              </w:rPr>
            </w:pPr>
            <w:r>
              <w:rPr>
                <w:rFonts w:hint="eastAsia" w:ascii="宋体" w:hAnsi="宋体" w:cs="宋体"/>
                <w:sz w:val="24"/>
                <w:szCs w:val="24"/>
              </w:rPr>
              <w:t>有高低温两用功能，低温干燥单舱有效容积≥68L，单向单开门，可对长度大于740mm的硬式管腔和达芬奇器械的进行干燥处理，必须满足内腔直线长度740mm的要求和医院最长不可拆卸器械尺寸要求。</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sz w:val="24"/>
                <w:szCs w:val="24"/>
                <w:lang w:val="en-US" w:eastAsia="zh-CN"/>
              </w:rPr>
            </w:pPr>
            <w:r>
              <w:rPr>
                <w:rFonts w:hint="eastAsia" w:ascii="宋体" w:hAnsi="宋体" w:cs="宋体"/>
                <w:color w:val="000000"/>
                <w:kern w:val="0"/>
                <w:sz w:val="24"/>
                <w:szCs w:val="24"/>
              </w:rPr>
              <w:t>5</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eastAsia="宋体" w:cs="宋体"/>
                <w:b w:val="0"/>
                <w:bCs/>
                <w:sz w:val="24"/>
                <w:szCs w:val="24"/>
              </w:rPr>
            </w:pPr>
            <w:r>
              <w:rPr>
                <w:rFonts w:hint="eastAsia" w:ascii="宋体" w:hAnsi="宋体" w:cs="宋体"/>
                <w:sz w:val="24"/>
                <w:szCs w:val="24"/>
              </w:rPr>
              <w:t>设备自带风机故障检测、加热器故障检测、高温提示、漏电提示等功能。</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6</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eastAsia="宋体"/>
                <w:lang w:eastAsia="zh-CN"/>
              </w:rPr>
            </w:pPr>
            <w:r>
              <w:rPr>
                <w:rFonts w:hint="eastAsia" w:ascii="宋体" w:hAnsi="宋体" w:cs="宋体"/>
                <w:sz w:val="24"/>
                <w:szCs w:val="24"/>
              </w:rPr>
              <w:t>具备强制热风循环系统和平衡调温，有效控制损耗，节约时间，降低干燥成本。</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7</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ascii="宋体" w:hAnsi="宋体" w:cs="宋体"/>
                <w:kern w:val="0"/>
                <w:sz w:val="24"/>
              </w:rPr>
            </w:pPr>
            <w:r>
              <w:rPr>
                <w:rFonts w:hint="eastAsia" w:ascii="宋体" w:hAnsi="宋体" w:cs="宋体"/>
                <w:sz w:val="24"/>
                <w:szCs w:val="24"/>
              </w:rPr>
              <w:t>设备需要配有专用的器械托盘和各类型干燥架，保障对不同器械的干燥效果。</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8</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rPr>
            </w:pPr>
            <w:r>
              <w:rPr>
                <w:rFonts w:hint="eastAsia" w:ascii="宋体" w:hAnsi="宋体" w:cs="宋体"/>
                <w:sz w:val="24"/>
                <w:szCs w:val="24"/>
              </w:rPr>
              <w:t>设备从环境温度升温到80℃时间＜25min，升温快速，干燥时间短。</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9</w:t>
            </w:r>
          </w:p>
        </w:tc>
        <w:tc>
          <w:tcPr>
            <w:tcW w:w="6648"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hint="eastAsia"/>
              </w:rPr>
            </w:pPr>
            <w:r>
              <w:rPr>
                <w:rFonts w:hint="eastAsia" w:ascii="宋体" w:hAnsi="宋体" w:cs="宋体"/>
                <w:bCs/>
                <w:sz w:val="24"/>
              </w:rPr>
              <w:t>整体设备的外壳和内胆需为</w:t>
            </w:r>
            <w:r>
              <w:rPr>
                <w:rFonts w:ascii="宋体" w:hAnsi="宋体" w:cs="宋体"/>
                <w:bCs/>
                <w:sz w:val="24"/>
              </w:rPr>
              <w:t>SUS304不锈钢</w:t>
            </w:r>
            <w:r>
              <w:rPr>
                <w:rFonts w:hint="eastAsia" w:ascii="宋体" w:hAnsi="宋体" w:cs="宋体"/>
                <w:bCs/>
                <w:sz w:val="24"/>
              </w:rPr>
              <w:t>材质，具备双门对开互锁功能，防止洁污气流互通。</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10</w:t>
            </w:r>
          </w:p>
        </w:tc>
        <w:tc>
          <w:tcPr>
            <w:tcW w:w="6648" w:type="dxa"/>
            <w:tcBorders>
              <w:top w:val="single" w:color="auto" w:sz="6" w:space="0"/>
              <w:left w:val="single" w:color="auto" w:sz="6" w:space="0"/>
              <w:bottom w:val="nil"/>
              <w:right w:val="nil"/>
            </w:tcBorders>
            <w:noWrap w:val="0"/>
            <w:vAlign w:val="center"/>
          </w:tcPr>
          <w:p>
            <w:pPr>
              <w:pStyle w:val="27"/>
              <w:spacing w:line="440" w:lineRule="exact"/>
              <w:ind w:firstLine="0" w:firstLineChars="0"/>
              <w:rPr>
                <w:rFonts w:hint="eastAsia"/>
              </w:rPr>
            </w:pPr>
            <w:r>
              <w:rPr>
                <w:rFonts w:hint="eastAsia" w:ascii="宋体" w:hAnsi="宋体" w:cs="宋体"/>
                <w:bCs/>
                <w:sz w:val="24"/>
              </w:rPr>
              <w:t>工作电源满足AC380V±38V 50Hz±1Hz。风机功率200W，循环风量约600m³/H。</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11</w:t>
            </w:r>
          </w:p>
        </w:tc>
        <w:tc>
          <w:tcPr>
            <w:tcW w:w="6648" w:type="dxa"/>
            <w:tcBorders>
              <w:top w:val="single" w:color="auto" w:sz="6" w:space="0"/>
              <w:left w:val="single" w:color="auto" w:sz="6" w:space="0"/>
              <w:bottom w:val="nil"/>
              <w:right w:val="nil"/>
            </w:tcBorders>
            <w:noWrap w:val="0"/>
            <w:vAlign w:val="center"/>
          </w:tcPr>
          <w:p>
            <w:pPr>
              <w:pStyle w:val="27"/>
              <w:spacing w:line="360" w:lineRule="auto"/>
              <w:ind w:firstLine="0" w:firstLineChars="0"/>
              <w:rPr>
                <w:rFonts w:hint="eastAsia"/>
              </w:rPr>
            </w:pPr>
            <w:r>
              <w:rPr>
                <w:rFonts w:hint="eastAsia" w:ascii="宋体" w:hAnsi="宋体" w:cs="宋体"/>
                <w:sz w:val="24"/>
                <w:szCs w:val="24"/>
              </w:rPr>
              <w:t>干燥舱材质采用优质航空铝合金，每层托盘下方的采用优质铝合金作为蓄热板，每层蓄热板均有独立的温控系统，使用低温工作时，工作温度≤60℃；具备低温真空干燥原理，表面器械干燥时间≦20分钟，管腔器械干燥时间≦25分钟。</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rPr>
              <w:t>12</w:t>
            </w:r>
          </w:p>
        </w:tc>
        <w:tc>
          <w:tcPr>
            <w:tcW w:w="6648" w:type="dxa"/>
            <w:tcBorders>
              <w:top w:val="single" w:color="auto" w:sz="6" w:space="0"/>
              <w:left w:val="single" w:color="auto" w:sz="6" w:space="0"/>
              <w:bottom w:val="nil"/>
              <w:right w:val="nil"/>
            </w:tcBorders>
            <w:noWrap w:val="0"/>
            <w:vAlign w:val="center"/>
          </w:tcPr>
          <w:p>
            <w:pPr>
              <w:pStyle w:val="27"/>
              <w:spacing w:line="360" w:lineRule="auto"/>
              <w:ind w:firstLine="0" w:firstLineChars="0"/>
              <w:rPr>
                <w:rFonts w:hint="eastAsia"/>
              </w:rPr>
            </w:pPr>
            <w:r>
              <w:rPr>
                <w:rFonts w:hint="eastAsia" w:ascii="宋体" w:hAnsi="宋体" w:cs="宋体"/>
                <w:sz w:val="24"/>
                <w:szCs w:val="24"/>
              </w:rPr>
              <w:t>具备无菌高效空气过滤系统，过滤精度≥0.1μm，有效防止器械的二次污染。</w:t>
            </w:r>
          </w:p>
        </w:tc>
        <w:tc>
          <w:tcPr>
            <w:tcW w:w="1109"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cs="宋体"/>
                <w:color w:val="000000"/>
                <w:kern w:val="0"/>
                <w:lang w:val="en-US" w:eastAsia="zh-CN"/>
              </w:rPr>
            </w:pPr>
            <w:r>
              <w:rPr>
                <w:rFonts w:hint="eastAsia" w:ascii="宋体" w:hAnsi="宋体" w:cs="宋体"/>
                <w:color w:val="000000"/>
                <w:kern w:val="0"/>
                <w:lang w:val="en-US" w:eastAsia="zh-CN"/>
              </w:rPr>
              <w:t>3</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743194"/>
      <w:bookmarkStart w:id="13" w:name="_Toc313109540"/>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0"/>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1"/>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5"/>
    <w:qFormat/>
    <w:uiPriority w:val="99"/>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styleId="19">
    <w:name w:val="annotation reference"/>
    <w:unhideWhenUsed/>
    <w:qFormat/>
    <w:uiPriority w:val="99"/>
    <w:rPr>
      <w:sz w:val="21"/>
      <w:szCs w:val="21"/>
    </w:rPr>
  </w:style>
  <w:style w:type="character" w:customStyle="1" w:styleId="20">
    <w:name w:val="标题 3 Char"/>
    <w:basedOn w:val="16"/>
    <w:link w:val="5"/>
    <w:qFormat/>
    <w:uiPriority w:val="0"/>
    <w:rPr>
      <w:b/>
      <w:kern w:val="2"/>
      <w:sz w:val="24"/>
    </w:rPr>
  </w:style>
  <w:style w:type="character" w:customStyle="1" w:styleId="21">
    <w:name w:val="纯文本 Char"/>
    <w:basedOn w:val="16"/>
    <w:link w:val="8"/>
    <w:qFormat/>
    <w:uiPriority w:val="0"/>
    <w:rPr>
      <w:rFonts w:ascii="宋体" w:hAnsi="Courier New" w:cs="Courier New"/>
      <w:kern w:val="2"/>
      <w:sz w:val="21"/>
      <w:szCs w:val="21"/>
    </w:rPr>
  </w:style>
  <w:style w:type="paragraph" w:customStyle="1" w:styleId="22">
    <w:name w:val="Char"/>
    <w:basedOn w:val="1"/>
    <w:qFormat/>
    <w:uiPriority w:val="0"/>
    <w:rPr>
      <w:rFonts w:ascii="仿宋_GB2312" w:eastAsia="仿宋_GB2312"/>
      <w:b/>
      <w:sz w:val="32"/>
      <w:szCs w:val="32"/>
    </w:rPr>
  </w:style>
  <w:style w:type="paragraph" w:customStyle="1" w:styleId="23">
    <w:name w:val="样式 (西文) 宋体 行距: 1.5 倍行距"/>
    <w:basedOn w:val="1"/>
    <w:qFormat/>
    <w:uiPriority w:val="0"/>
    <w:pPr>
      <w:spacing w:line="360" w:lineRule="auto"/>
    </w:pPr>
    <w:rPr>
      <w:rFonts w:ascii="宋体" w:hAnsi="宋体" w:cs="宋体"/>
    </w:rPr>
  </w:style>
  <w:style w:type="character" w:customStyle="1" w:styleId="24">
    <w:name w:val="页眉 Char"/>
    <w:basedOn w:val="16"/>
    <w:link w:val="11"/>
    <w:qFormat/>
    <w:uiPriority w:val="0"/>
    <w:rPr>
      <w:kern w:val="2"/>
      <w:sz w:val="18"/>
      <w:szCs w:val="18"/>
    </w:rPr>
  </w:style>
  <w:style w:type="character" w:customStyle="1" w:styleId="25">
    <w:name w:val="页脚 Char"/>
    <w:basedOn w:val="16"/>
    <w:link w:val="10"/>
    <w:qFormat/>
    <w:uiPriority w:val="99"/>
    <w:rPr>
      <w:kern w:val="2"/>
      <w:sz w:val="18"/>
      <w:szCs w:val="18"/>
    </w:rPr>
  </w:style>
  <w:style w:type="character" w:customStyle="1" w:styleId="26">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7">
    <w:name w:val="List Paragraph"/>
    <w:basedOn w:val="1"/>
    <w:qFormat/>
    <w:uiPriority w:val="34"/>
    <w:pPr>
      <w:ind w:firstLine="420" w:firstLineChars="200"/>
    </w:pPr>
    <w:rPr>
      <w:rFonts w:ascii="Calibri" w:hAnsi="Calibri"/>
      <w:szCs w:val="22"/>
    </w:rPr>
  </w:style>
  <w:style w:type="character" w:customStyle="1" w:styleId="28">
    <w:name w:val="标题 1 Char"/>
    <w:basedOn w:val="16"/>
    <w:link w:val="3"/>
    <w:qFormat/>
    <w:uiPriority w:val="0"/>
    <w:rPr>
      <w:b/>
      <w:bCs/>
      <w:kern w:val="44"/>
      <w:sz w:val="44"/>
      <w:szCs w:val="44"/>
    </w:rPr>
  </w:style>
  <w:style w:type="paragraph" w:customStyle="1" w:styleId="29">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0">
    <w:name w:val="_Style 1"/>
    <w:basedOn w:val="1"/>
    <w:qFormat/>
    <w:uiPriority w:val="34"/>
    <w:pPr>
      <w:ind w:firstLine="420" w:firstLineChars="200"/>
    </w:pPr>
  </w:style>
  <w:style w:type="paragraph" w:customStyle="1" w:styleId="31">
    <w:name w:val="样式3"/>
    <w:basedOn w:val="1"/>
    <w:qFormat/>
    <w:uiPriority w:val="0"/>
    <w:pPr>
      <w:spacing w:line="0" w:lineRule="atLeast"/>
      <w:outlineLvl w:val="0"/>
    </w:pPr>
    <w:rPr>
      <w:rFonts w:ascii="宋体" w:hAnsi="Courier New"/>
      <w:sz w:val="28"/>
      <w:szCs w:val="24"/>
    </w:rPr>
  </w:style>
  <w:style w:type="paragraph" w:customStyle="1" w:styleId="32">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3">
    <w:name w:val="招标文件样式2"/>
    <w:basedOn w:val="1"/>
    <w:qFormat/>
    <w:uiPriority w:val="99"/>
    <w:pPr>
      <w:jc w:val="center"/>
      <w:outlineLvl w:val="0"/>
    </w:pPr>
    <w:rPr>
      <w:rFonts w:ascii="宋体" w:hAnsi="宋体"/>
      <w:b/>
      <w:sz w:val="28"/>
      <w:szCs w:val="28"/>
    </w:rPr>
  </w:style>
  <w:style w:type="paragraph" w:customStyle="1" w:styleId="34">
    <w:name w:val="列出段落1"/>
    <w:basedOn w:val="1"/>
    <w:qFormat/>
    <w:uiPriority w:val="99"/>
    <w:pPr>
      <w:ind w:firstLine="420" w:firstLineChars="200"/>
    </w:pPr>
  </w:style>
  <w:style w:type="paragraph" w:customStyle="1" w:styleId="35">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6">
    <w:name w:val="List Paragraph1"/>
    <w:basedOn w:val="1"/>
    <w:qFormat/>
    <w:uiPriority w:val="99"/>
    <w:pPr>
      <w:ind w:firstLine="420" w:firstLineChars="200"/>
    </w:pPr>
  </w:style>
  <w:style w:type="paragraph" w:customStyle="1" w:styleId="37">
    <w:name w:val="msolistparagraph"/>
    <w:basedOn w:val="1"/>
    <w:qFormat/>
    <w:uiPriority w:val="0"/>
    <w:pPr>
      <w:adjustRightInd w:val="0"/>
      <w:snapToGrid w:val="0"/>
      <w:ind w:firstLine="420" w:firstLineChars="200"/>
    </w:pPr>
    <w:rPr>
      <w:sz w:val="28"/>
      <w:szCs w:val="24"/>
    </w:rPr>
  </w:style>
  <w:style w:type="character" w:customStyle="1" w:styleId="38">
    <w:name w:val="font31"/>
    <w:basedOn w:val="16"/>
    <w:qFormat/>
    <w:uiPriority w:val="0"/>
    <w:rPr>
      <w:rFonts w:hint="eastAsia" w:ascii="宋体" w:hAnsi="宋体" w:eastAsia="宋体" w:cs="Times New Roman"/>
      <w:color w:val="000000"/>
      <w:sz w:val="20"/>
      <w:szCs w:val="20"/>
      <w:u w:val="none"/>
    </w:rPr>
  </w:style>
  <w:style w:type="character" w:customStyle="1" w:styleId="39">
    <w:name w:val="font21"/>
    <w:basedOn w:val="16"/>
    <w:qFormat/>
    <w:uiPriority w:val="0"/>
    <w:rPr>
      <w:rFonts w:hint="eastAsia" w:ascii="宋体" w:hAnsi="宋体" w:eastAsia="宋体" w:cs="宋体"/>
      <w:color w:val="000000"/>
      <w:sz w:val="18"/>
      <w:szCs w:val="18"/>
      <w:u w:val="none"/>
    </w:rPr>
  </w:style>
  <w:style w:type="paragraph" w:customStyle="1" w:styleId="40">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1">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qFormat/>
    <w:uiPriority w:val="0"/>
    <w:pPr>
      <w:numPr>
        <w:ilvl w:val="0"/>
        <w:numId w:val="2"/>
      </w:numPr>
      <w:spacing w:before="140" w:after="140" w:line="500" w:lineRule="exact"/>
      <w:outlineLvl w:val="2"/>
    </w:pPr>
    <w:rPr>
      <w:rFonts w:ascii="楷体_GB2312" w:hAnsi="宋体" w:eastAsia="楷体_GB2312"/>
      <w:b/>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7286</Words>
  <Characters>7528</Characters>
  <Lines>48</Lines>
  <Paragraphs>13</Paragraphs>
  <TotalTime>2</TotalTime>
  <ScaleCrop>false</ScaleCrop>
  <LinksUpToDate>false</LinksUpToDate>
  <CharactersWithSpaces>8271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2017-09-05T08:05:00Z</cp:lastPrinted>
  <dcterms:modified xsi:type="dcterms:W3CDTF">2023-08-21T06:34:06Z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2A5DC0B52E264BDCA9D5C391384BACA0</vt:lpwstr>
  </property>
</Properties>
</file>