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7</w:t>
            </w:r>
            <w:r>
              <w:rPr>
                <w:rFonts w:hint="eastAsia"/>
              </w:rPr>
              <w:t>分，其他参数每负偏离一项扣</w:t>
            </w:r>
            <w:r>
              <w:rPr>
                <w:rFonts w:hint="eastAsia"/>
                <w:lang w:val="en-US" w:eastAsia="zh-CN"/>
              </w:rPr>
              <w:t>3</w:t>
            </w:r>
            <w:bookmarkStart w:id="15" w:name="_GoBack"/>
            <w:bookmarkEnd w:id="15"/>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3"/>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2023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401658"/>
      <w:bookmarkStart w:id="3" w:name="_Toc201742861"/>
      <w:bookmarkStart w:id="4" w:name="_Toc201719118"/>
      <w:bookmarkStart w:id="5" w:name="_Toc201743116"/>
      <w:bookmarkStart w:id="6" w:name="_Toc20199794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2"/>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3"/>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3"/>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3"/>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视功能检查仪</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18.9万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2"/>
                    <w:jc w:val="left"/>
                    <w:rPr>
                      <w:rFonts w:hint="default"/>
                      <w:lang w:val="en-US"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jc w:val="both"/>
              <w:rPr>
                <w:rFonts w:hint="eastAsia" w:eastAsia="宋体"/>
                <w:color w:val="FF0000"/>
                <w:lang w:eastAsia="zh-CN"/>
              </w:rPr>
            </w:pPr>
            <w:r>
              <w:rPr>
                <w:rFonts w:hint="eastAsia"/>
                <w:lang w:val="en-US" w:eastAsia="zh-CN"/>
              </w:rPr>
              <w:t>1</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lang w:eastAsia="zh-CN"/>
              </w:rPr>
            </w:pPr>
            <w:r>
              <w:rPr>
                <w:rFonts w:hint="default" w:ascii="Arial" w:hAnsi="Arial" w:cs="Arial"/>
                <w:color w:val="000000"/>
                <w:sz w:val="22"/>
                <w:szCs w:val="22"/>
              </w:rPr>
              <w:t>双眼同时进行测量，单眼测量</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color w:val="000000"/>
                <w:kern w:val="0"/>
                <w:sz w:val="24"/>
                <w:szCs w:val="24"/>
                <w:lang w:val="en-US" w:eastAsia="zh-CN"/>
              </w:rPr>
              <w:t>2</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default" w:ascii="Arial" w:hAnsi="Arial" w:cs="Arial"/>
                <w:color w:val="000000"/>
                <w:sz w:val="22"/>
                <w:szCs w:val="22"/>
              </w:rPr>
              <w:t>等效球镜范围</w:t>
            </w:r>
            <w:r>
              <w:rPr>
                <w:rFonts w:hint="eastAsia" w:ascii="宋体" w:hAnsi="宋体" w:eastAsia="宋体" w:cs="宋体"/>
                <w:color w:val="000000"/>
                <w:sz w:val="22"/>
                <w:szCs w:val="22"/>
              </w:rPr>
              <w:t>+2.50D</w:t>
            </w:r>
            <w:r>
              <w:rPr>
                <w:rFonts w:hint="eastAsia" w:ascii="宋体" w:hAnsi="宋体" w:eastAsia="宋体" w:cs="宋体"/>
                <w:color w:val="000000"/>
                <w:sz w:val="22"/>
                <w:szCs w:val="22"/>
                <w:lang w:val="en-US" w:eastAsia="zh-CN"/>
              </w:rPr>
              <w:t>~</w:t>
            </w:r>
            <w:r>
              <w:rPr>
                <w:rFonts w:hint="eastAsia" w:ascii="宋体" w:hAnsi="宋体" w:eastAsia="宋体" w:cs="宋体"/>
                <w:color w:val="000000"/>
                <w:sz w:val="22"/>
                <w:szCs w:val="22"/>
              </w:rPr>
              <w:t>-6.50D</w:t>
            </w:r>
            <w:r>
              <w:rPr>
                <w:rFonts w:hint="eastAsia" w:ascii="宋体" w:hAnsi="宋体" w:eastAsia="宋体" w:cs="宋体"/>
                <w:color w:val="000000"/>
                <w:sz w:val="22"/>
                <w:szCs w:val="22"/>
                <w:lang w:eastAsia="zh-CN"/>
              </w:rPr>
              <w:t>，</w:t>
            </w:r>
            <w:r>
              <w:rPr>
                <w:rFonts w:hint="default" w:ascii="Arial" w:hAnsi="Arial" w:cs="Arial"/>
                <w:color w:val="000000"/>
                <w:sz w:val="22"/>
                <w:szCs w:val="22"/>
              </w:rPr>
              <w:t>每1.00D递增</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sz w:val="24"/>
                <w:szCs w:val="24"/>
              </w:rPr>
            </w:pPr>
            <w:r>
              <w:rPr>
                <w:rFonts w:hint="default" w:ascii="Arial" w:hAnsi="Arial" w:cs="Arial"/>
                <w:color w:val="000000"/>
                <w:sz w:val="22"/>
                <w:szCs w:val="22"/>
              </w:rPr>
              <w:t>瞳距</w:t>
            </w:r>
            <w:r>
              <w:rPr>
                <w:rFonts w:hint="eastAsia" w:ascii="宋体" w:hAnsi="宋体" w:eastAsia="宋体" w:cs="宋体"/>
                <w:color w:val="000000"/>
                <w:sz w:val="22"/>
                <w:szCs w:val="22"/>
              </w:rPr>
              <w:t>50mm-75mm</w:t>
            </w:r>
            <w:r>
              <w:rPr>
                <w:rFonts w:hint="eastAsia" w:ascii="宋体" w:hAnsi="宋体" w:eastAsia="宋体" w:cs="宋体"/>
                <w:color w:val="000000"/>
                <w:sz w:val="22"/>
                <w:szCs w:val="22"/>
                <w:lang w:eastAsia="zh-CN"/>
              </w:rPr>
              <w:t>，</w:t>
            </w:r>
            <w:r>
              <w:rPr>
                <w:rFonts w:hint="default" w:ascii="Arial" w:hAnsi="Arial" w:cs="Arial"/>
                <w:color w:val="000000"/>
                <w:sz w:val="22"/>
                <w:szCs w:val="22"/>
              </w:rPr>
              <w:t>每1mm递增</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color w:val="000000"/>
                <w:kern w:val="2"/>
                <w:sz w:val="24"/>
                <w:szCs w:val="24"/>
                <w:lang w:val="en-US" w:eastAsia="zh-CN" w:bidi="ar-SA"/>
              </w:rPr>
            </w:pPr>
            <w:r>
              <w:rPr>
                <w:rFonts w:hint="default" w:ascii="Arial" w:hAnsi="Arial" w:cs="Arial"/>
                <w:color w:val="000000"/>
                <w:sz w:val="22"/>
                <w:szCs w:val="22"/>
              </w:rPr>
              <w:t>斜视度内外斜视0-20棱镜度</w:t>
            </w:r>
            <w:r>
              <w:rPr>
                <w:rFonts w:hint="eastAsia" w:ascii="宋体" w:hAnsi="宋体" w:eastAsia="宋体" w:cs="宋体"/>
                <w:color w:val="000000"/>
                <w:sz w:val="22"/>
                <w:szCs w:val="22"/>
                <w:lang w:eastAsia="zh-CN"/>
              </w:rPr>
              <w:t>，</w:t>
            </w:r>
            <w:r>
              <w:rPr>
                <w:rFonts w:hint="default" w:ascii="Arial" w:hAnsi="Arial" w:cs="Arial"/>
                <w:color w:val="000000"/>
                <w:sz w:val="22"/>
                <w:szCs w:val="22"/>
              </w:rPr>
              <w:t>0.5棱镜度递增</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color w:val="000000"/>
                <w:kern w:val="0"/>
                <w:sz w:val="24"/>
                <w:szCs w:val="24"/>
                <w:lang w:val="en-US" w:eastAsia="zh-CN"/>
              </w:rPr>
              <w:t>5</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sz w:val="24"/>
                <w:szCs w:val="24"/>
              </w:rPr>
            </w:pPr>
            <w:r>
              <w:rPr>
                <w:rFonts w:hint="eastAsia" w:ascii="Arial" w:hAnsi="Arial" w:cs="Arial"/>
                <w:color w:val="000000"/>
                <w:sz w:val="22"/>
                <w:szCs w:val="22"/>
                <w:lang w:val="en-US" w:eastAsia="zh-CN"/>
              </w:rPr>
              <w:t>融像范围</w:t>
            </w:r>
            <w:r>
              <w:rPr>
                <w:rFonts w:hint="default" w:ascii="Arial" w:hAnsi="Arial" w:cs="Arial"/>
                <w:color w:val="000000"/>
                <w:sz w:val="22"/>
                <w:szCs w:val="22"/>
              </w:rPr>
              <w:t>集合散开0-40棱镜度</w:t>
            </w:r>
            <w:r>
              <w:rPr>
                <w:rFonts w:hint="eastAsia" w:ascii="宋体" w:hAnsi="宋体" w:eastAsia="宋体" w:cs="宋体"/>
                <w:color w:val="000000"/>
                <w:sz w:val="22"/>
                <w:szCs w:val="22"/>
                <w:lang w:eastAsia="zh-CN"/>
              </w:rPr>
              <w:t>，</w:t>
            </w:r>
            <w:r>
              <w:rPr>
                <w:rFonts w:hint="default" w:ascii="Arial" w:hAnsi="Arial" w:cs="Arial"/>
                <w:color w:val="000000"/>
                <w:sz w:val="22"/>
                <w:szCs w:val="22"/>
              </w:rPr>
              <w:t>0.5棱镜度递增</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eastAsia="宋体"/>
                <w:lang w:eastAsia="zh-CN"/>
              </w:rPr>
            </w:pPr>
            <w:r>
              <w:rPr>
                <w:rFonts w:hint="eastAsia" w:ascii="宋体" w:hAnsi="宋体" w:eastAsia="宋体" w:cs="宋体"/>
                <w:color w:val="000000"/>
                <w:sz w:val="22"/>
                <w:szCs w:val="22"/>
                <w:lang w:val="en-US" w:eastAsia="zh-CN"/>
              </w:rPr>
              <w:t>调节幅度</w:t>
            </w:r>
            <w:r>
              <w:rPr>
                <w:rFonts w:hint="eastAsia" w:ascii="宋体" w:hAnsi="宋体" w:eastAsia="宋体" w:cs="宋体"/>
                <w:color w:val="000000"/>
                <w:sz w:val="22"/>
                <w:szCs w:val="22"/>
              </w:rPr>
              <w:t>2.50D-12.00D</w:t>
            </w:r>
            <w:r>
              <w:rPr>
                <w:rFonts w:hint="eastAsia" w:ascii="宋体" w:hAnsi="宋体" w:eastAsia="宋体" w:cs="宋体"/>
                <w:color w:val="000000"/>
                <w:sz w:val="22"/>
                <w:szCs w:val="22"/>
                <w:lang w:eastAsia="zh-CN"/>
              </w:rPr>
              <w:t>，</w:t>
            </w:r>
            <w:r>
              <w:rPr>
                <w:rFonts w:hint="default" w:ascii="Arial" w:hAnsi="Arial" w:cs="Arial"/>
                <w:color w:val="000000"/>
                <w:sz w:val="22"/>
                <w:szCs w:val="22"/>
              </w:rPr>
              <w:t>1.0D递增</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color w:val="FF0000"/>
                <w:lang w:val="en-US" w:eastAsia="zh-CN"/>
              </w:rPr>
              <w:t>▲</w:t>
            </w:r>
            <w:r>
              <w:rPr>
                <w:rFonts w:hint="eastAsia" w:ascii="宋体" w:hAnsi="宋体" w:cs="宋体"/>
                <w:color w:val="000000"/>
                <w:kern w:val="0"/>
                <w:sz w:val="24"/>
                <w:szCs w:val="24"/>
                <w:lang w:val="en-US" w:eastAsia="zh-CN"/>
              </w:rPr>
              <w:t>7</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rPr>
            </w:pPr>
            <w:r>
              <w:rPr>
                <w:rFonts w:hint="eastAsia" w:ascii="宋体" w:hAnsi="宋体" w:eastAsia="宋体" w:cs="宋体"/>
                <w:color w:val="000000"/>
                <w:sz w:val="22"/>
                <w:szCs w:val="22"/>
                <w:lang w:val="en-US" w:eastAsia="zh-CN"/>
              </w:rPr>
              <w:t>调节灵活度</w:t>
            </w:r>
            <w:r>
              <w:rPr>
                <w:rFonts w:hint="eastAsia" w:ascii="宋体" w:hAnsi="宋体" w:eastAsia="宋体" w:cs="宋体"/>
                <w:color w:val="000000"/>
                <w:sz w:val="22"/>
                <w:szCs w:val="22"/>
              </w:rPr>
              <w:t>0-30</w:t>
            </w:r>
            <w:r>
              <w:rPr>
                <w:rFonts w:hint="eastAsia" w:ascii="宋体" w:hAnsi="宋体" w:eastAsia="宋体" w:cs="宋体"/>
                <w:color w:val="000000"/>
                <w:sz w:val="22"/>
                <w:szCs w:val="22"/>
                <w:lang w:eastAsia="zh-CN"/>
              </w:rPr>
              <w:t>，</w:t>
            </w:r>
            <w:r>
              <w:rPr>
                <w:rFonts w:hint="default" w:ascii="Arial" w:hAnsi="Arial" w:cs="Arial"/>
                <w:color w:val="000000"/>
                <w:sz w:val="22"/>
                <w:szCs w:val="22"/>
              </w:rPr>
              <w:t>0.5递增</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7</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color w:val="FF0000"/>
                <w:lang w:val="en-US" w:eastAsia="zh-CN"/>
              </w:rPr>
              <w:t>▲</w:t>
            </w:r>
            <w:r>
              <w:rPr>
                <w:rFonts w:hint="eastAsia" w:ascii="宋体" w:hAnsi="宋体" w:cs="宋体"/>
                <w:color w:val="000000"/>
                <w:kern w:val="0"/>
                <w:sz w:val="24"/>
                <w:szCs w:val="24"/>
                <w:lang w:val="en-US" w:eastAsia="zh-CN"/>
              </w:rPr>
              <w:t>8</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rPr>
            </w:pPr>
            <w:r>
              <w:rPr>
                <w:rFonts w:hint="default" w:ascii="Arial" w:hAnsi="Arial" w:cs="Arial"/>
                <w:color w:val="000000"/>
                <w:sz w:val="22"/>
                <w:szCs w:val="22"/>
              </w:rPr>
              <w:t>聚散灵活度</w:t>
            </w:r>
            <w:r>
              <w:rPr>
                <w:rFonts w:hint="eastAsia" w:ascii="宋体" w:hAnsi="宋体" w:eastAsia="宋体" w:cs="宋体"/>
                <w:color w:val="000000"/>
                <w:sz w:val="22"/>
                <w:szCs w:val="22"/>
              </w:rPr>
              <w:t>0-30</w:t>
            </w:r>
            <w:r>
              <w:rPr>
                <w:rFonts w:hint="eastAsia" w:ascii="宋体" w:hAnsi="宋体" w:eastAsia="宋体" w:cs="宋体"/>
                <w:color w:val="000000"/>
                <w:sz w:val="22"/>
                <w:szCs w:val="22"/>
                <w:lang w:eastAsia="zh-CN"/>
              </w:rPr>
              <w:t>，</w:t>
            </w:r>
            <w:r>
              <w:rPr>
                <w:rFonts w:hint="default" w:ascii="Arial" w:hAnsi="Arial" w:cs="Arial"/>
                <w:color w:val="000000"/>
                <w:sz w:val="22"/>
                <w:szCs w:val="22"/>
              </w:rPr>
              <w:t>0.5递增</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7</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rPr>
            </w:pPr>
            <w:r>
              <w:rPr>
                <w:rFonts w:hint="eastAsia" w:ascii="宋体" w:hAnsi="宋体" w:eastAsia="宋体" w:cs="宋体"/>
                <w:color w:val="000000"/>
                <w:sz w:val="22"/>
                <w:szCs w:val="22"/>
                <w:lang w:val="en-US" w:eastAsia="zh-CN"/>
              </w:rPr>
              <w:t>立体视锐度</w:t>
            </w:r>
            <w:r>
              <w:rPr>
                <w:rFonts w:hint="eastAsia" w:ascii="宋体" w:hAnsi="宋体" w:eastAsia="宋体" w:cs="宋体"/>
                <w:color w:val="000000"/>
                <w:sz w:val="22"/>
                <w:szCs w:val="22"/>
              </w:rPr>
              <w:t>40”-7200”</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color w:val="FF0000"/>
                <w:lang w:val="en-US" w:eastAsia="zh-CN"/>
              </w:rPr>
              <w:t>▲</w:t>
            </w:r>
            <w:r>
              <w:rPr>
                <w:rFonts w:hint="eastAsia" w:ascii="宋体" w:hAnsi="宋体" w:cs="宋体"/>
                <w:color w:val="000000"/>
                <w:kern w:val="0"/>
                <w:sz w:val="24"/>
                <w:szCs w:val="24"/>
                <w:lang w:val="en-US" w:eastAsia="zh-CN"/>
              </w:rPr>
              <w:t>10</w:t>
            </w:r>
          </w:p>
        </w:tc>
        <w:tc>
          <w:tcPr>
            <w:tcW w:w="6648" w:type="dxa"/>
            <w:tcBorders>
              <w:top w:val="single" w:color="auto" w:sz="6" w:space="0"/>
              <w:left w:val="single" w:color="auto" w:sz="6" w:space="0"/>
              <w:bottom w:val="nil"/>
              <w:right w:val="nil"/>
            </w:tcBorders>
            <w:noWrap w:val="0"/>
            <w:vAlign w:val="center"/>
          </w:tcPr>
          <w:p>
            <w:pPr>
              <w:pStyle w:val="12"/>
              <w:keepNext w:val="0"/>
              <w:keepLines w:val="0"/>
              <w:widowControl/>
              <w:suppressLineNumbers w:val="0"/>
              <w:rPr>
                <w:rFonts w:hint="eastAsia"/>
              </w:rPr>
            </w:pPr>
            <w:r>
              <w:rPr>
                <w:rFonts w:hint="default" w:ascii="Arial" w:hAnsi="Arial" w:cs="Arial"/>
                <w:color w:val="000000"/>
                <w:sz w:val="22"/>
                <w:szCs w:val="22"/>
              </w:rPr>
              <w:t>后台系统可汇集数据，</w:t>
            </w:r>
            <w:r>
              <w:rPr>
                <w:rFonts w:hint="eastAsia" w:ascii="Arial" w:hAnsi="Arial" w:cs="Arial"/>
                <w:color w:val="000000"/>
                <w:sz w:val="22"/>
                <w:szCs w:val="22"/>
                <w:lang w:val="en-US" w:eastAsia="zh-CN"/>
              </w:rPr>
              <w:t>自动分析数据，</w:t>
            </w:r>
            <w:r>
              <w:rPr>
                <w:rFonts w:hint="default" w:ascii="Arial" w:hAnsi="Arial" w:cs="Arial"/>
                <w:color w:val="000000"/>
                <w:sz w:val="22"/>
                <w:szCs w:val="22"/>
              </w:rPr>
              <w:t>提供电子病历报告</w:t>
            </w:r>
            <w:r>
              <w:rPr>
                <w:rFonts w:hint="eastAsia" w:ascii="Arial" w:hAnsi="Arial" w:cs="Arial"/>
                <w:color w:val="000000"/>
                <w:sz w:val="22"/>
                <w:szCs w:val="22"/>
                <w:lang w:eastAsia="zh-CN"/>
              </w:rPr>
              <w:t>，</w:t>
            </w:r>
            <w:r>
              <w:rPr>
                <w:rFonts w:hint="default" w:ascii="Arial" w:hAnsi="Arial" w:cs="Arial"/>
                <w:color w:val="000000"/>
                <w:sz w:val="22"/>
                <w:szCs w:val="22"/>
              </w:rPr>
              <w:t>具备报告打印功能</w:t>
            </w:r>
            <w:r>
              <w:rPr>
                <w:rFonts w:hint="eastAsia" w:ascii="Arial" w:hAnsi="Arial" w:cs="Arial"/>
                <w:color w:val="000000"/>
                <w:sz w:val="22"/>
                <w:szCs w:val="22"/>
                <w:lang w:eastAsia="zh-CN"/>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7</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11</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rPr>
            </w:pPr>
            <w:r>
              <w:rPr>
                <w:rFonts w:hint="default" w:ascii="Arial" w:hAnsi="Arial" w:cs="Arial"/>
                <w:color w:val="000000"/>
                <w:sz w:val="22"/>
                <w:szCs w:val="22"/>
              </w:rPr>
              <w:t>具备患者数据库，记录患者数据，可实现数据导入导出</w:t>
            </w:r>
            <w:r>
              <w:rPr>
                <w:rFonts w:hint="eastAsia" w:ascii="Arial" w:hAnsi="Arial" w:cs="Arial"/>
                <w:color w:val="000000"/>
                <w:sz w:val="22"/>
                <w:szCs w:val="22"/>
                <w:lang w:eastAsia="zh-CN"/>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lang w:eastAsia="zh-CN"/>
                    </w:rPr>
                    <w:t>伍</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8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313109540"/>
      <w:bookmarkStart w:id="14" w:name="_Toc201743194"/>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5"/>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E8E06E3"/>
    <w:multiLevelType w:val="singleLevel"/>
    <w:tmpl w:val="5E8E06E3"/>
    <w:lvl w:ilvl="0" w:tentative="0">
      <w:start w:val="2"/>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EC5E17"/>
    <w:rsid w:val="121432F4"/>
    <w:rsid w:val="12DD2EED"/>
    <w:rsid w:val="1301505A"/>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A9F4192"/>
    <w:rsid w:val="2BB45953"/>
    <w:rsid w:val="2D1347F5"/>
    <w:rsid w:val="2D21664A"/>
    <w:rsid w:val="2D8B5BEE"/>
    <w:rsid w:val="2D943172"/>
    <w:rsid w:val="2E291DF3"/>
    <w:rsid w:val="2E433C51"/>
    <w:rsid w:val="2F203705"/>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CE6154"/>
    <w:rsid w:val="4CD708C0"/>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C6CE6"/>
    <w:rsid w:val="62867A17"/>
    <w:rsid w:val="632640B2"/>
    <w:rsid w:val="63273AB6"/>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C2D715B"/>
    <w:rsid w:val="6C396224"/>
    <w:rsid w:val="6CCC2F03"/>
    <w:rsid w:val="6D7C1A08"/>
    <w:rsid w:val="6D7E3DB9"/>
    <w:rsid w:val="6E394EAE"/>
    <w:rsid w:val="6EBC525F"/>
    <w:rsid w:val="6EED19D9"/>
    <w:rsid w:val="6EEE2197"/>
    <w:rsid w:val="6EEF7E4F"/>
    <w:rsid w:val="6F182E8D"/>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0"/>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1"/>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paragraph" w:styleId="13">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styleId="19">
    <w:name w:val="annotation reference"/>
    <w:unhideWhenUsed/>
    <w:qFormat/>
    <w:uiPriority w:val="99"/>
    <w:rPr>
      <w:sz w:val="21"/>
      <w:szCs w:val="21"/>
    </w:rPr>
  </w:style>
  <w:style w:type="character" w:customStyle="1" w:styleId="20">
    <w:name w:val="标题 3 Char"/>
    <w:basedOn w:val="16"/>
    <w:link w:val="5"/>
    <w:qFormat/>
    <w:uiPriority w:val="0"/>
    <w:rPr>
      <w:b/>
      <w:kern w:val="2"/>
      <w:sz w:val="24"/>
    </w:rPr>
  </w:style>
  <w:style w:type="character" w:customStyle="1" w:styleId="21">
    <w:name w:val="纯文本 Char"/>
    <w:basedOn w:val="16"/>
    <w:link w:val="8"/>
    <w:qFormat/>
    <w:uiPriority w:val="0"/>
    <w:rPr>
      <w:rFonts w:ascii="宋体" w:hAnsi="Courier New" w:cs="Courier New"/>
      <w:kern w:val="2"/>
      <w:sz w:val="21"/>
      <w:szCs w:val="21"/>
    </w:rPr>
  </w:style>
  <w:style w:type="paragraph" w:customStyle="1" w:styleId="22">
    <w:name w:val="Char"/>
    <w:basedOn w:val="1"/>
    <w:qFormat/>
    <w:uiPriority w:val="0"/>
    <w:rPr>
      <w:rFonts w:ascii="仿宋_GB2312" w:eastAsia="仿宋_GB2312"/>
      <w:b/>
      <w:sz w:val="32"/>
      <w:szCs w:val="32"/>
    </w:rPr>
  </w:style>
  <w:style w:type="paragraph" w:customStyle="1" w:styleId="23">
    <w:name w:val="样式 (西文) 宋体 行距: 1.5 倍行距"/>
    <w:basedOn w:val="1"/>
    <w:qFormat/>
    <w:uiPriority w:val="0"/>
    <w:pPr>
      <w:spacing w:line="360" w:lineRule="auto"/>
    </w:pPr>
    <w:rPr>
      <w:rFonts w:ascii="宋体" w:hAnsi="宋体" w:cs="宋体"/>
    </w:rPr>
  </w:style>
  <w:style w:type="character" w:customStyle="1" w:styleId="24">
    <w:name w:val="页眉 Char"/>
    <w:basedOn w:val="16"/>
    <w:link w:val="11"/>
    <w:qFormat/>
    <w:uiPriority w:val="0"/>
    <w:rPr>
      <w:kern w:val="2"/>
      <w:sz w:val="18"/>
      <w:szCs w:val="18"/>
    </w:rPr>
  </w:style>
  <w:style w:type="character" w:customStyle="1" w:styleId="25">
    <w:name w:val="页脚 Char"/>
    <w:basedOn w:val="16"/>
    <w:link w:val="10"/>
    <w:qFormat/>
    <w:uiPriority w:val="99"/>
    <w:rPr>
      <w:kern w:val="2"/>
      <w:sz w:val="18"/>
      <w:szCs w:val="18"/>
    </w:rPr>
  </w:style>
  <w:style w:type="character" w:customStyle="1" w:styleId="26">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7">
    <w:name w:val="List Paragraph"/>
    <w:basedOn w:val="1"/>
    <w:qFormat/>
    <w:uiPriority w:val="34"/>
    <w:pPr>
      <w:ind w:firstLine="420" w:firstLineChars="200"/>
    </w:pPr>
    <w:rPr>
      <w:rFonts w:ascii="Calibri" w:hAnsi="Calibri"/>
      <w:szCs w:val="22"/>
    </w:rPr>
  </w:style>
  <w:style w:type="character" w:customStyle="1" w:styleId="28">
    <w:name w:val="标题 1 Char"/>
    <w:basedOn w:val="16"/>
    <w:link w:val="3"/>
    <w:qFormat/>
    <w:uiPriority w:val="0"/>
    <w:rPr>
      <w:b/>
      <w:bCs/>
      <w:kern w:val="44"/>
      <w:sz w:val="44"/>
      <w:szCs w:val="44"/>
    </w:rPr>
  </w:style>
  <w:style w:type="paragraph" w:customStyle="1" w:styleId="29">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0">
    <w:name w:val="_Style 1"/>
    <w:basedOn w:val="1"/>
    <w:qFormat/>
    <w:uiPriority w:val="34"/>
    <w:pPr>
      <w:ind w:firstLine="420" w:firstLineChars="200"/>
    </w:pPr>
  </w:style>
  <w:style w:type="paragraph" w:customStyle="1" w:styleId="31">
    <w:name w:val="样式3"/>
    <w:basedOn w:val="1"/>
    <w:qFormat/>
    <w:uiPriority w:val="0"/>
    <w:pPr>
      <w:spacing w:line="0" w:lineRule="atLeast"/>
      <w:outlineLvl w:val="0"/>
    </w:pPr>
    <w:rPr>
      <w:rFonts w:ascii="宋体" w:hAnsi="Courier New"/>
      <w:sz w:val="28"/>
      <w:szCs w:val="24"/>
    </w:rPr>
  </w:style>
  <w:style w:type="paragraph" w:customStyle="1" w:styleId="32">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3">
    <w:name w:val="招标文件样式2"/>
    <w:basedOn w:val="1"/>
    <w:qFormat/>
    <w:uiPriority w:val="99"/>
    <w:pPr>
      <w:jc w:val="center"/>
      <w:outlineLvl w:val="0"/>
    </w:pPr>
    <w:rPr>
      <w:rFonts w:ascii="宋体" w:hAnsi="宋体"/>
      <w:b/>
      <w:sz w:val="28"/>
      <w:szCs w:val="28"/>
    </w:rPr>
  </w:style>
  <w:style w:type="paragraph" w:customStyle="1" w:styleId="34">
    <w:name w:val="列出段落1"/>
    <w:basedOn w:val="1"/>
    <w:qFormat/>
    <w:uiPriority w:val="99"/>
    <w:pPr>
      <w:ind w:firstLine="420" w:firstLineChars="200"/>
    </w:pPr>
  </w:style>
  <w:style w:type="paragraph" w:customStyle="1" w:styleId="35">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6">
    <w:name w:val="List Paragraph1"/>
    <w:basedOn w:val="1"/>
    <w:qFormat/>
    <w:uiPriority w:val="99"/>
    <w:pPr>
      <w:ind w:firstLine="420" w:firstLineChars="200"/>
    </w:pPr>
  </w:style>
  <w:style w:type="paragraph" w:customStyle="1" w:styleId="37">
    <w:name w:val="msolistparagraph"/>
    <w:basedOn w:val="1"/>
    <w:qFormat/>
    <w:uiPriority w:val="0"/>
    <w:pPr>
      <w:adjustRightInd w:val="0"/>
      <w:snapToGrid w:val="0"/>
      <w:ind w:firstLine="420" w:firstLineChars="200"/>
    </w:pPr>
    <w:rPr>
      <w:sz w:val="28"/>
      <w:szCs w:val="24"/>
    </w:rPr>
  </w:style>
  <w:style w:type="character" w:customStyle="1" w:styleId="38">
    <w:name w:val="font31"/>
    <w:basedOn w:val="16"/>
    <w:qFormat/>
    <w:uiPriority w:val="0"/>
    <w:rPr>
      <w:rFonts w:hint="eastAsia" w:ascii="宋体" w:hAnsi="宋体" w:eastAsia="宋体" w:cs="Times New Roman"/>
      <w:color w:val="000000"/>
      <w:sz w:val="20"/>
      <w:szCs w:val="20"/>
      <w:u w:val="none"/>
    </w:rPr>
  </w:style>
  <w:style w:type="character" w:customStyle="1" w:styleId="39">
    <w:name w:val="font21"/>
    <w:basedOn w:val="16"/>
    <w:qFormat/>
    <w:uiPriority w:val="0"/>
    <w:rPr>
      <w:rFonts w:hint="eastAsia" w:ascii="宋体" w:hAnsi="宋体" w:eastAsia="宋体" w:cs="宋体"/>
      <w:color w:val="000000"/>
      <w:sz w:val="18"/>
      <w:szCs w:val="18"/>
      <w:u w:val="none"/>
    </w:rPr>
  </w:style>
  <w:style w:type="paragraph" w:customStyle="1" w:styleId="40">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1">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2">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3">
    <w:name w:val="Table Paragraph"/>
    <w:basedOn w:val="1"/>
    <w:qFormat/>
    <w:uiPriority w:val="1"/>
    <w:pPr>
      <w:autoSpaceDE w:val="0"/>
      <w:autoSpaceDN w:val="0"/>
      <w:jc w:val="left"/>
    </w:pPr>
    <w:rPr>
      <w:rFonts w:ascii="黑体" w:hAnsi="黑体" w:eastAsia="黑体" w:cs="黑体"/>
      <w:kern w:val="0"/>
      <w:sz w:val="22"/>
      <w:szCs w:val="22"/>
      <w:lang w:val="zh-CN" w:bidi="zh-CN"/>
    </w:rPr>
  </w:style>
  <w:style w:type="paragraph" w:customStyle="1" w:styleId="44">
    <w:name w:val="（符号）三标题1.1"/>
    <w:basedOn w:val="1"/>
    <w:qFormat/>
    <w:uiPriority w:val="0"/>
    <w:pPr>
      <w:numPr>
        <w:ilvl w:val="1"/>
        <w:numId w:val="1"/>
      </w:numPr>
      <w:spacing w:line="500" w:lineRule="exact"/>
    </w:pPr>
    <w:rPr>
      <w:rFonts w:ascii="宋体" w:hAnsi="宋体"/>
      <w:kern w:val="0"/>
      <w:sz w:val="24"/>
      <w:szCs w:val="20"/>
    </w:rPr>
  </w:style>
  <w:style w:type="paragraph" w:customStyle="1" w:styleId="45">
    <w:name w:val="(符号)三标题1.1"/>
    <w:basedOn w:val="1"/>
    <w:qFormat/>
    <w:uiPriority w:val="0"/>
    <w:pPr>
      <w:numPr>
        <w:ilvl w:val="0"/>
        <w:numId w:val="2"/>
      </w:numPr>
      <w:spacing w:before="140" w:after="140" w:line="500" w:lineRule="exact"/>
      <w:outlineLvl w:val="2"/>
    </w:pPr>
    <w:rPr>
      <w:rFonts w:ascii="楷体_GB2312" w:hAnsi="宋体" w:eastAsia="楷体_GB2312"/>
      <w:b/>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7817</Words>
  <Characters>8083</Characters>
  <Lines>48</Lines>
  <Paragraphs>13</Paragraphs>
  <TotalTime>2</TotalTime>
  <ScaleCrop>false</ScaleCrop>
  <LinksUpToDate>false</LinksUpToDate>
  <CharactersWithSpaces>8836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Administrator</cp:lastModifiedBy>
  <cp:lastPrinted>2017-09-05T08:05:00Z</cp:lastPrinted>
  <dcterms:modified xsi:type="dcterms:W3CDTF">2023-07-20T02:37:14Z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2A5DC0B52E264BDCA9D5C391384BACA0</vt:lpwstr>
  </property>
</Properties>
</file>