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10.5</w:t>
            </w:r>
            <w:r>
              <w:rPr>
                <w:rFonts w:hint="eastAsia"/>
              </w:rPr>
              <w:t>分，其他参数每负偏离一项扣</w:t>
            </w:r>
            <w:r>
              <w:rPr>
                <w:rFonts w:hint="eastAsia"/>
                <w:lang w:val="en-US" w:eastAsia="zh-CN"/>
              </w:rPr>
              <w:t>8</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19118"/>
      <w:bookmarkStart w:id="4" w:name="_Toc201742861"/>
      <w:bookmarkStart w:id="5" w:name="_Toc201997946"/>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2"/>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bookmarkStart w:id="15" w:name="_GoBack"/>
      <w:bookmarkEnd w:id="15"/>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智能化输液系统</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30</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10.5万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left"/>
                    <w:rPr>
                      <w:rFonts w:hint="default"/>
                      <w:lang w:val="en-US" w:eastAsia="zh-CN"/>
                    </w:rPr>
                  </w:pPr>
                  <w:r>
                    <w:rPr>
                      <w:rFonts w:hint="eastAsia"/>
                      <w:lang w:val="en-US" w:eastAsia="zh-CN"/>
                    </w:rPr>
                    <w:t>含：30套智能化输液终端及2台护士站管理大屏</w:t>
                  </w: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auto"/>
                <w:kern w:val="0"/>
              </w:rPr>
            </w:pPr>
            <w:r>
              <w:rPr>
                <w:rFonts w:hint="eastAsia" w:ascii="宋体" w:hAnsi="宋体" w:cs="宋体"/>
                <w:b/>
                <w:bCs/>
                <w:color w:val="auto"/>
                <w:kern w:val="0"/>
              </w:rPr>
              <w:t>具体参数要求</w:t>
            </w:r>
          </w:p>
          <w:p>
            <w:pPr>
              <w:widowControl/>
              <w:spacing w:before="100" w:beforeAutospacing="1" w:after="100" w:afterAutospacing="1"/>
              <w:jc w:val="center"/>
              <w:rPr>
                <w:color w:val="auto"/>
              </w:rPr>
            </w:pPr>
            <w:r>
              <w:rPr>
                <w:rFonts w:hint="eastAsia" w:ascii="宋体" w:hAnsi="宋体"/>
                <w:color w:val="FF0000"/>
                <w:lang w:eastAsia="zh-CN"/>
              </w:rPr>
              <w:t>（注：所以“</w:t>
            </w:r>
            <w:r>
              <w:rPr>
                <w:rFonts w:hint="eastAsia" w:ascii="宋体" w:hAnsi="宋体"/>
                <w:color w:val="FF0000"/>
              </w:rPr>
              <w:t>▲</w:t>
            </w:r>
            <w:r>
              <w:rPr>
                <w:rFonts w:hint="eastAsia" w:ascii="宋体" w:hAnsi="宋体"/>
                <w:color w:val="FF0000"/>
                <w:lang w:eastAsia="zh-CN"/>
              </w:rPr>
              <w:t>”重要参数须</w:t>
            </w:r>
            <w:r>
              <w:rPr>
                <w:rFonts w:hint="eastAsia" w:ascii="宋体" w:hAnsi="宋体"/>
                <w:color w:val="FF0000"/>
              </w:rPr>
              <w:t>提供有效证明文件</w:t>
            </w:r>
            <w:r>
              <w:rPr>
                <w:rFonts w:hint="eastAsia" w:ascii="宋体" w:hAnsi="宋体"/>
                <w:color w:val="FF0000"/>
                <w:lang w:eastAsia="zh-CN"/>
              </w:rPr>
              <w:t>并加盖设备制造商鲜章</w:t>
            </w:r>
            <w:r>
              <w:rPr>
                <w:rFonts w:hint="eastAsia" w:ascii="宋体" w:hAnsi="宋体"/>
                <w:color w:val="FF0000"/>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eastAsia="宋体"/>
                <w:color w:val="FF0000"/>
                <w:lang w:eastAsia="zh-CN"/>
              </w:rPr>
            </w:pPr>
            <w:r>
              <w:rPr>
                <w:rFonts w:hint="eastAsia"/>
                <w:color w:val="auto"/>
                <w:lang w:eastAsia="zh-CN"/>
              </w:rPr>
              <w:t>一</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lang w:eastAsia="zh-CN"/>
              </w:rPr>
            </w:pPr>
            <w:r>
              <w:rPr>
                <w:rFonts w:hint="eastAsia" w:ascii="宋体" w:hAnsi="宋体"/>
                <w:lang w:eastAsia="zh-CN"/>
              </w:rPr>
              <w:t>输液控制设备</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rPr>
              <w:t>1</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rPr>
              <w:t>内部</w:t>
            </w:r>
            <w:r>
              <w:rPr>
                <w:rFonts w:hint="eastAsia" w:ascii="宋体" w:hAnsi="宋体"/>
              </w:rPr>
              <w:t>电池续航时长正常工作模式下</w:t>
            </w:r>
            <w:r>
              <w:rPr>
                <w:rFonts w:ascii="宋体" w:hAnsi="宋体"/>
              </w:rPr>
              <w:t>≥</w:t>
            </w:r>
            <w:r>
              <w:rPr>
                <w:rFonts w:hint="eastAsia" w:ascii="宋体" w:hAnsi="宋体"/>
              </w:rPr>
              <w:t>480小时</w:t>
            </w:r>
            <w:r>
              <w:rPr>
                <w:rFonts w:hint="eastAsia" w:ascii="宋体" w:hAnsi="宋体"/>
                <w:lang w:eastAsia="zh-CN"/>
              </w:rPr>
              <w:t>，</w:t>
            </w:r>
            <w:r>
              <w:rPr>
                <w:rFonts w:hint="eastAsia" w:ascii="宋体" w:hAnsi="宋体"/>
              </w:rPr>
              <w:t>规格≤1</w:t>
            </w:r>
            <w:r>
              <w:rPr>
                <w:rFonts w:ascii="宋体" w:hAnsi="宋体"/>
              </w:rPr>
              <w:t>50 mm</w:t>
            </w:r>
            <w:r>
              <w:rPr>
                <w:rFonts w:hint="eastAsia" w:ascii="宋体" w:hAnsi="宋体"/>
              </w:rPr>
              <w:t>x1</w:t>
            </w:r>
            <w:r>
              <w:rPr>
                <w:rFonts w:ascii="宋体" w:hAnsi="宋体"/>
              </w:rPr>
              <w:t>20 mm</w:t>
            </w:r>
            <w:r>
              <w:rPr>
                <w:rFonts w:hint="eastAsia" w:ascii="宋体" w:hAnsi="宋体"/>
              </w:rPr>
              <w:t>x</w:t>
            </w:r>
            <w:r>
              <w:rPr>
                <w:rFonts w:ascii="宋体" w:hAnsi="宋体"/>
              </w:rPr>
              <w:t>50 mm</w:t>
            </w:r>
            <w:r>
              <w:rPr>
                <w:rFonts w:hint="eastAsia" w:ascii="宋体" w:hAnsi="宋体"/>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color w:val="000000"/>
                <w:kern w:val="0"/>
                <w:sz w:val="24"/>
                <w:szCs w:val="24"/>
                <w:lang w:val="en-US" w:eastAsia="zh-CN"/>
              </w:rPr>
            </w:pPr>
            <w:r>
              <w:rPr>
                <w:rFonts w:hint="eastAsia"/>
                <w:color w:val="auto"/>
              </w:rPr>
              <w:t>▲</w:t>
            </w: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sz w:val="24"/>
                <w:szCs w:val="24"/>
              </w:rPr>
            </w:pPr>
            <w:r>
              <w:rPr>
                <w:rFonts w:hint="eastAsia" w:ascii="宋体" w:hAnsi="宋体"/>
              </w:rPr>
              <w:t>重量≤1</w:t>
            </w:r>
            <w:r>
              <w:rPr>
                <w:rFonts w:ascii="宋体" w:hAnsi="宋体"/>
              </w:rPr>
              <w:t>50</w:t>
            </w:r>
            <w:r>
              <w:rPr>
                <w:rFonts w:hint="eastAsia" w:ascii="宋体" w:hAnsi="宋体"/>
              </w:rPr>
              <w:t>g</w:t>
            </w:r>
            <w:r>
              <w:rPr>
                <w:rFonts w:hint="eastAsia" w:ascii="宋体" w:hAnsi="宋体"/>
                <w:lang w:eastAsia="zh-CN"/>
              </w:rPr>
              <w:t>（须</w:t>
            </w:r>
            <w:r>
              <w:rPr>
                <w:rFonts w:hint="eastAsia" w:ascii="宋体" w:hAnsi="宋体"/>
              </w:rPr>
              <w:t>提供有效证明文件</w:t>
            </w:r>
            <w:r>
              <w:rPr>
                <w:rFonts w:hint="eastAsia" w:ascii="宋体" w:hAnsi="宋体"/>
                <w:lang w:eastAsia="zh-CN"/>
              </w:rPr>
              <w:t>并加盖设备制造商鲜章</w:t>
            </w:r>
            <w:r>
              <w:rPr>
                <w:rFonts w:hint="eastAsia" w:ascii="宋体" w:hAnsi="宋体"/>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noWrap w:val="0"/>
            <w:vAlign w:val="top"/>
          </w:tcPr>
          <w:p>
            <w:pPr>
              <w:rPr>
                <w:rFonts w:hint="eastAsia" w:ascii="宋体" w:hAnsi="宋体" w:eastAsia="宋体" w:cs="宋体"/>
                <w:b w:val="0"/>
                <w:bCs/>
                <w:color w:val="000000"/>
                <w:kern w:val="2"/>
                <w:sz w:val="24"/>
                <w:szCs w:val="24"/>
                <w:lang w:val="en-US" w:eastAsia="zh-CN" w:bidi="ar-SA"/>
              </w:rPr>
            </w:pPr>
            <w:r>
              <w:rPr>
                <w:rFonts w:hint="eastAsia" w:ascii="宋体" w:hAnsi="宋体"/>
              </w:rPr>
              <w:t>适用于普通药液的重力式输液及于避光型药液的重力式输液。</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rPr>
              <w:t>▲</w:t>
            </w:r>
            <w:r>
              <w:rPr>
                <w:rFonts w:ascii="宋体" w:hAnsi="宋体" w:cs="宋体"/>
                <w:color w:val="000000"/>
                <w:kern w:val="0"/>
                <w:sz w:val="24"/>
                <w:szCs w:val="24"/>
              </w:rPr>
              <w:t>5</w:t>
            </w:r>
          </w:p>
        </w:tc>
        <w:tc>
          <w:tcPr>
            <w:tcW w:w="6648" w:type="dxa"/>
            <w:tcBorders>
              <w:top w:val="single" w:color="auto" w:sz="6" w:space="0"/>
              <w:left w:val="single" w:color="auto" w:sz="6" w:space="0"/>
              <w:bottom w:val="nil"/>
              <w:right w:val="nil"/>
            </w:tcBorders>
            <w:noWrap w:val="0"/>
            <w:vAlign w:val="top"/>
          </w:tcPr>
          <w:p>
            <w:pPr>
              <w:spacing w:line="300" w:lineRule="auto"/>
              <w:jc w:val="left"/>
              <w:rPr>
                <w:rFonts w:hint="eastAsia" w:ascii="宋体" w:hAnsi="宋体" w:eastAsia="宋体" w:cs="宋体"/>
                <w:b w:val="0"/>
                <w:bCs/>
                <w:sz w:val="24"/>
                <w:szCs w:val="24"/>
              </w:rPr>
            </w:pPr>
            <w:r>
              <w:rPr>
                <w:rFonts w:hint="eastAsia" w:ascii="宋体" w:hAnsi="宋体"/>
              </w:rPr>
              <w:t>能够控制输液速度</w:t>
            </w:r>
            <w:r>
              <w:rPr>
                <w:rFonts w:hint="eastAsia" w:ascii="宋体" w:hAnsi="宋体"/>
                <w:lang w:eastAsia="zh-CN"/>
              </w:rPr>
              <w:t>（须</w:t>
            </w:r>
            <w:r>
              <w:rPr>
                <w:rFonts w:hint="eastAsia" w:ascii="宋体" w:hAnsi="宋体"/>
              </w:rPr>
              <w:t>提供有效证明文件</w:t>
            </w:r>
            <w:r>
              <w:rPr>
                <w:rFonts w:hint="eastAsia" w:ascii="宋体" w:hAnsi="宋体"/>
                <w:lang w:eastAsia="zh-CN"/>
              </w:rPr>
              <w:t>并加盖设备制造商鲜章</w:t>
            </w:r>
            <w:r>
              <w:rPr>
                <w:rFonts w:hint="eastAsia" w:ascii="宋体" w:hAnsi="宋体"/>
              </w:rPr>
              <w:t>）</w:t>
            </w:r>
            <w:r>
              <w:rPr>
                <w:rFonts w:hint="eastAsia" w:ascii="宋体" w:hAnsi="宋体"/>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rPr>
              <w:t>▲</w:t>
            </w: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top"/>
          </w:tcPr>
          <w:p>
            <w:pPr>
              <w:rPr>
                <w:rFonts w:hint="eastAsia" w:eastAsia="宋体"/>
                <w:lang w:eastAsia="zh-CN"/>
              </w:rPr>
            </w:pPr>
            <w:r>
              <w:rPr>
                <w:rFonts w:hint="eastAsia" w:ascii="宋体" w:hAnsi="宋体"/>
              </w:rPr>
              <w:t>输液滴速控制范围输液滴速调节范围等于或大于10d/min——120d/min（30ml/h——360ml/h）</w:t>
            </w:r>
            <w:r>
              <w:rPr>
                <w:rFonts w:hint="eastAsia" w:ascii="宋体" w:hAnsi="宋体"/>
                <w:lang w:eastAsia="zh-CN"/>
              </w:rPr>
              <w:t>（须</w:t>
            </w:r>
            <w:r>
              <w:rPr>
                <w:rFonts w:hint="eastAsia" w:ascii="宋体" w:hAnsi="宋体"/>
              </w:rPr>
              <w:t>提供有效证明文件</w:t>
            </w:r>
            <w:r>
              <w:rPr>
                <w:rFonts w:hint="eastAsia" w:ascii="宋体" w:hAnsi="宋体"/>
                <w:lang w:eastAsia="zh-CN"/>
              </w:rPr>
              <w:t>并加盖设备制造商鲜章</w:t>
            </w:r>
            <w:r>
              <w:rPr>
                <w:rFonts w:hint="eastAsia" w:ascii="宋体" w:hAnsi="宋体"/>
              </w:rPr>
              <w:t>）</w:t>
            </w:r>
            <w:r>
              <w:rPr>
                <w:rFonts w:hint="eastAsia" w:ascii="宋体" w:hAnsi="宋体"/>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rPr>
              <w:t>▲</w:t>
            </w: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状态识别设备能够识别输液状态，且状态识别功能</w:t>
            </w:r>
            <w:r>
              <w:rPr>
                <w:rFonts w:ascii="宋体" w:hAnsi="宋体"/>
              </w:rPr>
              <w:t>≥6</w:t>
            </w:r>
            <w:r>
              <w:rPr>
                <w:rFonts w:hint="eastAsia" w:ascii="宋体" w:hAnsi="宋体"/>
              </w:rPr>
              <w:t>种</w:t>
            </w:r>
            <w:r>
              <w:rPr>
                <w:rFonts w:ascii="宋体" w:hAnsi="宋体"/>
              </w:rPr>
              <w:t>，</w:t>
            </w:r>
            <w:r>
              <w:rPr>
                <w:rFonts w:hint="eastAsia" w:ascii="宋体" w:hAnsi="宋体"/>
              </w:rPr>
              <w:t>输液状态需</w:t>
            </w:r>
            <w:r>
              <w:rPr>
                <w:rFonts w:ascii="宋体" w:hAnsi="宋体"/>
              </w:rPr>
              <w:t>包含但不限于</w:t>
            </w:r>
            <w:r>
              <w:rPr>
                <w:rFonts w:hint="eastAsia" w:ascii="宋体" w:hAnsi="宋体"/>
              </w:rPr>
              <w:t>输液完成状态、输液堵塞状态、输液速度过快状态、输液速度过慢状态、空气报警状态、低电量报警状态。</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有声光报警提醒，符合《YY0709</w:t>
            </w:r>
            <w:r>
              <w:rPr>
                <w:rFonts w:ascii="宋体" w:hAnsi="宋体"/>
              </w:rPr>
              <w:t>-2009</w:t>
            </w:r>
            <w:r>
              <w:rPr>
                <w:rFonts w:hint="eastAsia" w:ascii="宋体" w:hAnsi="宋体"/>
              </w:rPr>
              <w:t xml:space="preserve"> 医用电气设备通用标准》中 第1-8部分安全通用标准。</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rPr>
              <w:t>▲</w:t>
            </w:r>
            <w:r>
              <w:rPr>
                <w:rFonts w:hint="eastAsia" w:ascii="宋体" w:hAnsi="宋体"/>
                <w:lang w:val="en-US" w:eastAsia="zh-CN"/>
              </w:rPr>
              <w:t>9</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符合《GB 9706.27-2005 医用电气设备第2-24部分：输液泵和输液控制器安全专用要求》中关于输液准确度的要求。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符合《YY 0505-2012  医用电气设备 第1-2部分安全通用要求并列标准电磁兼容-要求和试验》</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可在输液完成状态、输液堵塞状态、输液速度过快状态、输液速度过慢状态、空气报警状态时启用一键复位。</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top"/>
          </w:tcPr>
          <w:p>
            <w:pPr>
              <w:spacing w:line="300" w:lineRule="auto"/>
              <w:jc w:val="left"/>
              <w:rPr>
                <w:rFonts w:hint="eastAsia"/>
              </w:rPr>
            </w:pPr>
            <w:r>
              <w:rPr>
                <w:rFonts w:ascii="宋体" w:hAnsi="宋体"/>
              </w:rPr>
              <w:t>准确</w:t>
            </w:r>
            <w:r>
              <w:rPr>
                <w:rFonts w:hint="eastAsia" w:ascii="宋体" w:hAnsi="宋体"/>
              </w:rPr>
              <w:t>识别出输液完成状态。支持在输液完成时自动锁死输液管路并发出声光报警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top"/>
          </w:tcPr>
          <w:p>
            <w:pPr>
              <w:rPr>
                <w:rFonts w:hint="eastAsia" w:eastAsia="宋体"/>
                <w:lang w:eastAsia="zh-CN"/>
              </w:rPr>
            </w:pPr>
            <w:r>
              <w:rPr>
                <w:rFonts w:hint="eastAsia" w:ascii="宋体" w:hAnsi="宋体"/>
              </w:rPr>
              <w:t>准确识别出输液堵塞状态。支持在输液堵塞时发出声光报警</w:t>
            </w:r>
            <w:r>
              <w:rPr>
                <w:rFonts w:hint="eastAsia" w:ascii="宋体" w:hAnsi="宋体"/>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top"/>
          </w:tcPr>
          <w:p>
            <w:pPr>
              <w:spacing w:line="300" w:lineRule="auto"/>
              <w:jc w:val="left"/>
              <w:rPr>
                <w:rFonts w:hint="eastAsia"/>
              </w:rPr>
            </w:pPr>
            <w:r>
              <w:rPr>
                <w:rFonts w:hint="eastAsia" w:ascii="宋体" w:hAnsi="宋体"/>
              </w:rPr>
              <w:t>准确识别出输液速度过快状态并发出声光报警。准确识别出输液速度过慢状态并发出声光报警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rPr>
              <w:t>▲</w:t>
            </w:r>
            <w:r>
              <w:rPr>
                <w:rFonts w:hint="eastAsia" w:ascii="宋体" w:hAnsi="宋体"/>
                <w:lang w:val="en-US" w:eastAsia="zh-CN"/>
              </w:rPr>
              <w:t>15</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在输液过程中，能够有效的检测出输液管路中的空气，防止空气输入人体。支持在输液管路进入空气时发出声光报警。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支持在电池低电压时发出声光报警。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rPr>
              <w:t>▲</w:t>
            </w:r>
            <w:r>
              <w:rPr>
                <w:rFonts w:hint="eastAsia" w:ascii="宋体" w:hAnsi="宋体"/>
                <w:lang w:val="en-US" w:eastAsia="zh-CN"/>
              </w:rPr>
              <w:t>17</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符合无线网络安全要求，配套的无线网络发射设备具有无线电发射设备型号核准证。</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二</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智能输液管理软件</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支持对不同的输液状态进行图像提醒及语音播报提醒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支持将输液完成及输液异常的床位自动顶置。</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rPr>
              <w:t>▲</w:t>
            </w: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top"/>
          </w:tcPr>
          <w:p>
            <w:pPr>
              <w:spacing w:line="300" w:lineRule="auto"/>
              <w:rPr>
                <w:rFonts w:hint="eastAsia"/>
              </w:rPr>
            </w:pPr>
            <w:r>
              <w:rPr>
                <w:rFonts w:hint="eastAsia" w:ascii="宋体" w:hAnsi="宋体"/>
              </w:rPr>
              <w:t>输液控制设备探测到输液管路中有空气时，系统发出声音及图像提醒。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输液控制设备探测到当前输液堵塞时，系统发出声音及图像提醒。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输液控制设备探测到当前滴速持续过快时，系统发出声音及图像提醒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输液控制设备探测到当前滴速持续过慢时，系统发出声音及图像提醒。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输液控制设备探测到输液完成时，系统发出声音及图像提醒。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输液控制设备当前电量过低时，系统发出声音及图像提醒。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输液控制设备探测到输液由异常状态恢复正常时，提醒图像恢复正常。</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支持自由设置堵塞报警延迟时间，延迟时间内恢复正常输液时不报警，未恢复时报警。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主界面以输液信息卡形式，展示当前病区所有输液信息。输液信息包含：床位号，患者姓名，输液时长，设定滴速，当前滴速，已输容量，报警信息等。</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支持在3-8个范围内自定义一排显示多少个输液信息卡。</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支持在无输液床位时，显示指定背景图片。</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支持自定义当前显示的病区名称。</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支持实时显示当前病区正常输液床位数，完成输液床位数，报警床位数等统计信息。</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支持白天及夜间两种主题，可设置自由切换时间。</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17</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支持显示每台设备每次使用的滴速趋势图，以不同颜色区分正常输液以及输液异常。</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18</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rPr>
              <w:t>可查看当前在线设备的信号强度，状态，床位号以及MAC地址。</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rPr>
              <w:t>▲</w:t>
            </w:r>
            <w:r>
              <w:rPr>
                <w:rFonts w:hint="eastAsia" w:ascii="宋体" w:hAnsi="宋体" w:cs="宋体"/>
                <w:color w:val="000000"/>
                <w:kern w:val="0"/>
                <w:sz w:val="24"/>
                <w:szCs w:val="24"/>
                <w:lang w:val="en-US" w:eastAsia="zh-CN"/>
              </w:rPr>
              <w:t>19</w:t>
            </w:r>
          </w:p>
        </w:tc>
        <w:tc>
          <w:tcPr>
            <w:tcW w:w="6648" w:type="dxa"/>
            <w:tcBorders>
              <w:top w:val="single" w:color="auto" w:sz="6" w:space="0"/>
              <w:left w:val="single" w:color="auto" w:sz="6" w:space="0"/>
              <w:bottom w:val="nil"/>
              <w:right w:val="nil"/>
            </w:tcBorders>
            <w:noWrap w:val="0"/>
            <w:vAlign w:val="top"/>
          </w:tcPr>
          <w:p>
            <w:pPr>
              <w:rPr>
                <w:rFonts w:hint="eastAsia" w:eastAsia="宋体"/>
                <w:lang w:val="en-US" w:eastAsia="zh-CN"/>
              </w:rPr>
            </w:pPr>
            <w:r>
              <w:rPr>
                <w:rFonts w:hint="eastAsia" w:ascii="宋体" w:hAnsi="宋体"/>
              </w:rPr>
              <w:t>输液管理系统</w:t>
            </w:r>
            <w:r>
              <w:rPr>
                <w:rFonts w:hint="eastAsia" w:ascii="宋体" w:hAnsi="宋体"/>
                <w:lang w:eastAsia="zh-CN"/>
              </w:rPr>
              <w:t>有</w:t>
            </w:r>
            <w:r>
              <w:rPr>
                <w:rFonts w:hint="eastAsia" w:ascii="宋体" w:hAnsi="宋体"/>
              </w:rPr>
              <w:t>相关计算机软件著作权登记证书。</w:t>
            </w:r>
            <w:r>
              <w:rPr>
                <w:rFonts w:hint="eastAsia" w:ascii="宋体" w:hAnsi="宋体"/>
              </w:rPr>
              <w:t>可与院内HIS对接</w:t>
            </w:r>
            <w:r>
              <w:rPr>
                <w:rFonts w:hint="eastAsia" w:ascii="宋体" w:hAnsi="宋体"/>
                <w:lang w:eastAsia="zh-CN"/>
              </w:rPr>
              <w:t>。</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三</w:t>
            </w:r>
          </w:p>
        </w:tc>
        <w:tc>
          <w:tcPr>
            <w:tcW w:w="6648" w:type="dxa"/>
            <w:tcBorders>
              <w:top w:val="single" w:color="auto" w:sz="6" w:space="0"/>
              <w:left w:val="single" w:color="auto" w:sz="6" w:space="0"/>
              <w:bottom w:val="nil"/>
              <w:right w:val="nil"/>
            </w:tcBorders>
            <w:noWrap w:val="0"/>
            <w:vAlign w:val="top"/>
          </w:tcPr>
          <w:p>
            <w:pPr>
              <w:rPr>
                <w:rFonts w:hint="eastAsia"/>
              </w:rPr>
            </w:pPr>
            <w:r>
              <w:rPr>
                <w:rFonts w:hint="eastAsia" w:ascii="宋体" w:hAnsi="宋体" w:cs="宋体"/>
                <w:bCs/>
              </w:rPr>
              <w:t>护士站管理大屏</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6648" w:type="dxa"/>
            <w:tcBorders>
              <w:top w:val="single" w:color="auto" w:sz="6" w:space="0"/>
              <w:left w:val="single" w:color="auto" w:sz="6" w:space="0"/>
              <w:bottom w:val="nil"/>
              <w:right w:val="nil"/>
            </w:tcBorders>
            <w:noWrap w:val="0"/>
            <w:vAlign w:val="top"/>
          </w:tcPr>
          <w:p>
            <w:pPr>
              <w:rPr>
                <w:rFonts w:hint="eastAsia" w:eastAsia="宋体"/>
                <w:lang w:eastAsia="zh-CN"/>
              </w:rPr>
            </w:pPr>
            <w:r>
              <w:rPr>
                <w:rFonts w:hint="eastAsia" w:cs="等线"/>
                <w:color w:val="auto"/>
                <w:szCs w:val="21"/>
              </w:rPr>
              <w:t>分辨率</w:t>
            </w:r>
            <w:r>
              <w:rPr>
                <w:rFonts w:hint="eastAsia" w:cs="宋体"/>
                <w:bCs/>
                <w:color w:val="auto"/>
                <w:szCs w:val="21"/>
              </w:rPr>
              <w:t>1920X1080及以上</w:t>
            </w:r>
            <w:r>
              <w:rPr>
                <w:rFonts w:hint="eastAsia" w:cs="宋体"/>
                <w:bCs/>
                <w:color w:val="auto"/>
                <w:szCs w:val="21"/>
                <w:lang w:eastAsia="zh-CN"/>
              </w:rPr>
              <w:t>，</w:t>
            </w:r>
            <w:r>
              <w:rPr>
                <w:rFonts w:hint="eastAsia" w:cs="宋体"/>
                <w:color w:val="auto"/>
                <w:szCs w:val="21"/>
                <w:lang w:eastAsia="zh-CN"/>
              </w:rPr>
              <w:t>尺寸</w:t>
            </w:r>
            <w:r>
              <w:rPr>
                <w:rFonts w:cs="宋体"/>
                <w:color w:val="auto"/>
                <w:szCs w:val="21"/>
              </w:rPr>
              <w:t>≥43寸</w:t>
            </w:r>
            <w:r>
              <w:rPr>
                <w:rFonts w:hint="eastAsia" w:cs="宋体"/>
                <w:color w:val="auto"/>
                <w:szCs w:val="21"/>
                <w:lang w:eastAsia="zh-CN"/>
              </w:rPr>
              <w:t>，</w:t>
            </w:r>
            <w:r>
              <w:rPr>
                <w:rFonts w:hint="eastAsia" w:cs="宋体"/>
                <w:color w:val="auto"/>
                <w:szCs w:val="21"/>
              </w:rPr>
              <w:t>支持H</w:t>
            </w:r>
            <w:r>
              <w:rPr>
                <w:rFonts w:cs="宋体"/>
                <w:color w:val="auto"/>
                <w:szCs w:val="21"/>
              </w:rPr>
              <w:t>DMI</w:t>
            </w:r>
            <w:r>
              <w:rPr>
                <w:rFonts w:hint="eastAsia" w:cs="宋体"/>
                <w:color w:val="auto"/>
                <w:szCs w:val="21"/>
              </w:rPr>
              <w:t>接口输入</w:t>
            </w:r>
            <w:r>
              <w:rPr>
                <w:rFonts w:hint="eastAsia" w:cs="宋体"/>
                <w:color w:val="auto"/>
                <w:szCs w:val="21"/>
                <w:lang w:eastAsia="zh-CN"/>
              </w:rPr>
              <w:t>，</w:t>
            </w:r>
            <w:r>
              <w:rPr>
                <w:rFonts w:hint="eastAsia" w:cs="宋体"/>
                <w:bCs/>
                <w:color w:val="auto"/>
                <w:szCs w:val="21"/>
              </w:rPr>
              <w:t>支持壁挂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styleId="19">
    <w:name w:val="annotation reference"/>
    <w:unhideWhenUsed/>
    <w:uiPriority w:val="99"/>
    <w:rPr>
      <w:sz w:val="21"/>
      <w:szCs w:val="21"/>
    </w:rPr>
  </w:style>
  <w:style w:type="character" w:customStyle="1" w:styleId="20">
    <w:name w:val="标题 3 Char"/>
    <w:basedOn w:val="16"/>
    <w:link w:val="5"/>
    <w:qFormat/>
    <w:uiPriority w:val="0"/>
    <w:rPr>
      <w:b/>
      <w:kern w:val="2"/>
      <w:sz w:val="24"/>
    </w:rPr>
  </w:style>
  <w:style w:type="character" w:customStyle="1" w:styleId="21">
    <w:name w:val="纯文本 Char"/>
    <w:basedOn w:val="16"/>
    <w:link w:val="8"/>
    <w:qFormat/>
    <w:uiPriority w:val="0"/>
    <w:rPr>
      <w:rFonts w:ascii="宋体" w:hAnsi="Courier New" w:cs="Courier New"/>
      <w:kern w:val="2"/>
      <w:sz w:val="21"/>
      <w:szCs w:val="21"/>
    </w:rPr>
  </w:style>
  <w:style w:type="paragraph" w:customStyle="1" w:styleId="22">
    <w:name w:val="Char"/>
    <w:basedOn w:val="1"/>
    <w:qFormat/>
    <w:uiPriority w:val="0"/>
    <w:rPr>
      <w:rFonts w:ascii="仿宋_GB2312" w:eastAsia="仿宋_GB2312"/>
      <w:b/>
      <w:sz w:val="32"/>
      <w:szCs w:val="32"/>
    </w:rPr>
  </w:style>
  <w:style w:type="paragraph" w:customStyle="1" w:styleId="23">
    <w:name w:val="样式 (西文) 宋体 行距: 1.5 倍行距"/>
    <w:basedOn w:val="1"/>
    <w:qFormat/>
    <w:uiPriority w:val="0"/>
    <w:pPr>
      <w:spacing w:line="360" w:lineRule="auto"/>
    </w:pPr>
    <w:rPr>
      <w:rFonts w:ascii="宋体" w:hAnsi="宋体" w:cs="宋体"/>
    </w:rPr>
  </w:style>
  <w:style w:type="character" w:customStyle="1" w:styleId="24">
    <w:name w:val="页眉 Char"/>
    <w:basedOn w:val="16"/>
    <w:link w:val="11"/>
    <w:qFormat/>
    <w:uiPriority w:val="0"/>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7">
    <w:name w:val="List Paragraph"/>
    <w:basedOn w:val="1"/>
    <w:qFormat/>
    <w:uiPriority w:val="34"/>
    <w:pPr>
      <w:ind w:firstLine="420" w:firstLineChars="200"/>
    </w:pPr>
    <w:rPr>
      <w:rFonts w:ascii="Calibri" w:hAnsi="Calibri"/>
      <w:szCs w:val="22"/>
    </w:rPr>
  </w:style>
  <w:style w:type="character" w:customStyle="1" w:styleId="28">
    <w:name w:val="标题 1 Char"/>
    <w:basedOn w:val="16"/>
    <w:link w:val="3"/>
    <w:qFormat/>
    <w:uiPriority w:val="0"/>
    <w:rPr>
      <w:b/>
      <w:bCs/>
      <w:kern w:val="44"/>
      <w:sz w:val="44"/>
      <w:szCs w:val="44"/>
    </w:rPr>
  </w:style>
  <w:style w:type="paragraph" w:customStyle="1" w:styleId="29">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qFormat/>
    <w:uiPriority w:val="34"/>
    <w:pPr>
      <w:ind w:firstLine="420" w:firstLineChars="200"/>
    </w:pPr>
  </w:style>
  <w:style w:type="paragraph" w:customStyle="1" w:styleId="31">
    <w:name w:val="样式3"/>
    <w:basedOn w:val="1"/>
    <w:qFormat/>
    <w:uiPriority w:val="0"/>
    <w:pPr>
      <w:spacing w:line="0" w:lineRule="atLeast"/>
      <w:outlineLvl w:val="0"/>
    </w:pPr>
    <w:rPr>
      <w:rFonts w:ascii="宋体" w:hAnsi="Courier New"/>
      <w:sz w:val="28"/>
      <w:szCs w:val="24"/>
    </w:rPr>
  </w:style>
  <w:style w:type="paragraph" w:customStyle="1" w:styleId="32">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qFormat/>
    <w:uiPriority w:val="99"/>
    <w:pPr>
      <w:jc w:val="center"/>
      <w:outlineLvl w:val="0"/>
    </w:pPr>
    <w:rPr>
      <w:rFonts w:ascii="宋体" w:hAnsi="宋体"/>
      <w:b/>
      <w:sz w:val="28"/>
      <w:szCs w:val="28"/>
    </w:rPr>
  </w:style>
  <w:style w:type="paragraph" w:customStyle="1" w:styleId="34">
    <w:name w:val="列出段落1"/>
    <w:basedOn w:val="1"/>
    <w:qFormat/>
    <w:uiPriority w:val="99"/>
    <w:pPr>
      <w:ind w:firstLine="420" w:firstLineChars="200"/>
    </w:pPr>
  </w:style>
  <w:style w:type="paragraph" w:customStyle="1" w:styleId="35">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qFormat/>
    <w:uiPriority w:val="99"/>
    <w:pPr>
      <w:ind w:firstLine="420" w:firstLineChars="200"/>
    </w:pPr>
  </w:style>
  <w:style w:type="paragraph" w:customStyle="1" w:styleId="37">
    <w:name w:val="msolistparagraph"/>
    <w:basedOn w:val="1"/>
    <w:qFormat/>
    <w:uiPriority w:val="0"/>
    <w:pPr>
      <w:adjustRightInd w:val="0"/>
      <w:snapToGrid w:val="0"/>
      <w:ind w:firstLine="420" w:firstLineChars="200"/>
    </w:pPr>
    <w:rPr>
      <w:sz w:val="28"/>
      <w:szCs w:val="24"/>
    </w:rPr>
  </w:style>
  <w:style w:type="character" w:customStyle="1" w:styleId="38">
    <w:name w:val="font31"/>
    <w:basedOn w:val="16"/>
    <w:qFormat/>
    <w:uiPriority w:val="0"/>
    <w:rPr>
      <w:rFonts w:hint="eastAsia" w:ascii="宋体" w:hAnsi="宋体" w:eastAsia="宋体" w:cs="Times New Roman"/>
      <w:color w:val="000000"/>
      <w:sz w:val="20"/>
      <w:szCs w:val="20"/>
      <w:u w:val="none"/>
    </w:rPr>
  </w:style>
  <w:style w:type="character" w:customStyle="1" w:styleId="39">
    <w:name w:val="font21"/>
    <w:basedOn w:val="16"/>
    <w:qFormat/>
    <w:uiPriority w:val="0"/>
    <w:rPr>
      <w:rFonts w:hint="eastAsia" w:ascii="宋体" w:hAnsi="宋体" w:eastAsia="宋体" w:cs="宋体"/>
      <w:color w:val="000000"/>
      <w:sz w:val="18"/>
      <w:szCs w:val="18"/>
      <w:u w:val="none"/>
    </w:rPr>
  </w:style>
  <w:style w:type="paragraph" w:customStyle="1" w:styleId="40">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1">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qFormat/>
    <w:uiPriority w:val="0"/>
    <w:pPr>
      <w:numPr>
        <w:ilvl w:val="0"/>
        <w:numId w:val="2"/>
      </w:numPr>
      <w:spacing w:before="140" w:after="140" w:line="500" w:lineRule="exact"/>
      <w:outlineLvl w:val="2"/>
    </w:pPr>
    <w:rPr>
      <w:rFonts w:ascii="楷体_GB2312" w:hAnsi="宋体" w:eastAsia="楷体_GB2312"/>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6542</Words>
  <Characters>6717</Characters>
  <Lines>48</Lines>
  <Paragraphs>13</Paragraphs>
  <TotalTime>7</TotalTime>
  <ScaleCrop>false</ScaleCrop>
  <LinksUpToDate>false</LinksUpToDate>
  <CharactersWithSpaces>7459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2023-07-13T01:18:12Z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2A5DC0B52E264BDCA9D5C391384BACA0</vt:lpwstr>
  </property>
</Properties>
</file>