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试剂占</w:t>
            </w:r>
            <w:r>
              <w:rPr>
                <w:rFonts w:hint="eastAsia" w:asciiTheme="minorEastAsia" w:hAnsiTheme="minorEastAsia" w:eastAsiaTheme="minorEastAsia"/>
                <w:sz w:val="24"/>
                <w:szCs w:val="24"/>
                <w:lang w:val="en-US" w:eastAsia="zh-CN"/>
              </w:rPr>
              <w:t>25</w:t>
            </w:r>
            <w:bookmarkStart w:id="15" w:name="_GoBack"/>
            <w:bookmarkEnd w:id="15"/>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7"/>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6"/>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401658"/>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4"/>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823"/>
        <w:gridCol w:w="93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全自动化学发光酶免分析仪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180000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68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rPr>
            </w:pPr>
            <w:r>
              <w:rPr>
                <w:rFonts w:hint="eastAsia" w:ascii="宋体" w:hAnsi="宋体" w:cs="宋体"/>
                <w:sz w:val="24"/>
                <w:szCs w:val="24"/>
              </w:rPr>
              <w:t>1</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eastAsia="宋体" w:cs="宋体"/>
                <w:b/>
                <w:bCs/>
                <w:color w:val="FF0000"/>
                <w:kern w:val="0"/>
                <w:sz w:val="24"/>
                <w:szCs w:val="24"/>
                <w:lang w:eastAsia="zh-CN"/>
              </w:rPr>
            </w:pPr>
            <w:r>
              <w:rPr>
                <w:rFonts w:hint="eastAsia" w:ascii="宋体" w:hAnsi="宋体" w:cs="宋体"/>
                <w:bCs/>
                <w:sz w:val="24"/>
                <w:szCs w:val="24"/>
              </w:rPr>
              <w:t>移液系统：12通道并行加样,单次12通道同时工作，使用一次性加样头，具备自动退吸头功能，可以自动调整移液系统速度，实现精准移液。</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bCs/>
                <w:color w:val="000000"/>
                <w:kern w:val="0"/>
                <w:sz w:val="24"/>
                <w:szCs w:val="24"/>
                <w:lang w:bidi="ar"/>
              </w:rPr>
              <w:t>▲</w:t>
            </w:r>
            <w:r>
              <w:rPr>
                <w:rFonts w:hint="eastAsia" w:ascii="宋体" w:hAnsi="宋体" w:cs="宋体"/>
                <w:color w:val="000000"/>
                <w:kern w:val="0"/>
                <w:sz w:val="24"/>
                <w:szCs w:val="24"/>
              </w:rPr>
              <w:t>2</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b/>
                <w:bCs/>
                <w:color w:val="FF0000"/>
                <w:kern w:val="0"/>
                <w:sz w:val="24"/>
                <w:szCs w:val="24"/>
              </w:rPr>
            </w:pPr>
            <w:r>
              <w:rPr>
                <w:rFonts w:hint="eastAsia" w:ascii="宋体" w:hAnsi="宋体" w:cs="宋体"/>
                <w:bCs/>
                <w:color w:val="000000"/>
                <w:kern w:val="0"/>
                <w:sz w:val="24"/>
                <w:szCs w:val="24"/>
                <w:lang w:bidi="ar"/>
              </w:rPr>
              <w:t>移液正确度和重复性液量≤10ul 偏移不超过±1ul；变异系数≤5%；液量 10- 50ul，偏移不超过±10%，变异系数 ≤3%；液量大于 50ul 偏移不超过±5%，变异系数≤2%。</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eastAsia="宋体" w:cs="宋体"/>
                <w:sz w:val="24"/>
                <w:szCs w:val="24"/>
                <w:lang w:eastAsia="zh-CN"/>
              </w:rPr>
            </w:pPr>
            <w:r>
              <w:rPr>
                <w:rFonts w:hint="eastAsia" w:ascii="宋体" w:hAnsi="宋体" w:cs="宋体"/>
                <w:bCs/>
                <w:color w:val="000000"/>
                <w:kern w:val="0"/>
                <w:sz w:val="24"/>
                <w:szCs w:val="24"/>
                <w:lang w:bidi="ar"/>
              </w:rPr>
              <w:t>反应区温度准确性：±0.3℃，波动度差异</w:t>
            </w:r>
            <w:r>
              <w:rPr>
                <w:rFonts w:hint="eastAsia" w:ascii="宋体" w:hAnsi="宋体" w:cs="宋体"/>
                <w:kern w:val="0"/>
                <w:sz w:val="24"/>
                <w:szCs w:val="24"/>
              </w:rPr>
              <w:t>≦</w:t>
            </w:r>
            <w:r>
              <w:rPr>
                <w:rFonts w:hint="eastAsia" w:ascii="宋体" w:hAnsi="宋体" w:cs="宋体"/>
                <w:bCs/>
                <w:color w:val="000000"/>
                <w:kern w:val="0"/>
                <w:sz w:val="24"/>
                <w:szCs w:val="24"/>
                <w:lang w:bidi="ar"/>
              </w:rPr>
              <w:t>0.5℃。</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sz w:val="24"/>
                <w:szCs w:val="24"/>
              </w:rPr>
            </w:pPr>
            <w:r>
              <w:rPr>
                <w:rFonts w:hint="eastAsia" w:ascii="宋体" w:hAnsi="宋体" w:cs="宋体"/>
                <w:bCs/>
                <w:color w:val="000000"/>
                <w:kern w:val="0"/>
                <w:sz w:val="24"/>
                <w:szCs w:val="24"/>
                <w:lang w:bidi="ar"/>
              </w:rPr>
              <w:t>孵育模块：具备2个温度单元，高温单元孵育温度范围可调，温度范围 30-100摄氏度。低温单元孵育温度范围可调，温度范围 30-40 摄氏度。</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5</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sz w:val="24"/>
                <w:szCs w:val="24"/>
              </w:rPr>
            </w:pPr>
            <w:r>
              <w:rPr>
                <w:rFonts w:hint="eastAsia" w:ascii="宋体" w:hAnsi="宋体" w:cs="宋体"/>
                <w:bCs/>
                <w:color w:val="000000"/>
                <w:kern w:val="0"/>
                <w:sz w:val="24"/>
                <w:szCs w:val="24"/>
                <w:lang w:bidi="ar"/>
              </w:rPr>
              <w:t xml:space="preserve">运动单元：运动机构具备静音低噪声等功能，稳定性好，发生故障时主动监测并报警。 </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6</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sz w:val="24"/>
                <w:szCs w:val="24"/>
              </w:rPr>
            </w:pPr>
            <w:r>
              <w:rPr>
                <w:rFonts w:hint="eastAsia" w:ascii="宋体" w:hAnsi="宋体" w:cs="宋体"/>
                <w:bCs/>
                <w:color w:val="000000"/>
                <w:kern w:val="0"/>
                <w:sz w:val="24"/>
                <w:szCs w:val="24"/>
                <w:lang w:bidi="ar"/>
              </w:rPr>
              <w:t>光学检测单元：光电比色模块和光子计数模块。</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7</w:t>
            </w:r>
          </w:p>
        </w:tc>
        <w:tc>
          <w:tcPr>
            <w:tcW w:w="6823"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 w:val="24"/>
                <w:szCs w:val="24"/>
              </w:rPr>
            </w:pPr>
            <w:r>
              <w:rPr>
                <w:rFonts w:hint="eastAsia" w:ascii="宋体" w:hAnsi="宋体" w:cs="宋体"/>
                <w:bCs/>
                <w:color w:val="000000"/>
                <w:kern w:val="0"/>
                <w:sz w:val="24"/>
                <w:szCs w:val="24"/>
                <w:lang w:bidi="ar"/>
              </w:rPr>
              <w:t>仪器线性：比色法0-3.0（OD）≥0.990；化学发光3个发光数量级≥0.99。</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8</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sz w:val="24"/>
                <w:szCs w:val="24"/>
              </w:rPr>
            </w:pPr>
            <w:r>
              <w:rPr>
                <w:rFonts w:hint="eastAsia" w:ascii="宋体" w:hAnsi="宋体" w:cs="宋体"/>
                <w:bCs/>
                <w:color w:val="000000"/>
                <w:kern w:val="0"/>
                <w:sz w:val="24"/>
                <w:szCs w:val="24"/>
                <w:lang w:bidi="ar"/>
              </w:rPr>
              <w:t>清洗功能：所有通道可同时清洗；清洗残液量≤2ul 孔。</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9</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sz w:val="24"/>
                <w:szCs w:val="24"/>
              </w:rPr>
            </w:pPr>
            <w:r>
              <w:rPr>
                <w:rFonts w:hint="eastAsia" w:ascii="宋体" w:hAnsi="宋体" w:cs="宋体"/>
                <w:bCs/>
                <w:sz w:val="24"/>
                <w:szCs w:val="24"/>
              </w:rPr>
              <w:t>具备405nm和450nm波长，满足实验需求</w:t>
            </w:r>
            <w:r>
              <w:rPr>
                <w:rFonts w:hint="eastAsia" w:ascii="宋体" w:hAnsi="宋体" w:cs="宋体"/>
                <w:bCs/>
                <w:color w:val="000000"/>
                <w:kern w:val="0"/>
                <w:sz w:val="24"/>
                <w:szCs w:val="24"/>
                <w:lang w:bidi="ar"/>
              </w:rPr>
              <w:t>。</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10</w:t>
            </w:r>
          </w:p>
        </w:tc>
        <w:tc>
          <w:tcPr>
            <w:tcW w:w="6823" w:type="dxa"/>
            <w:tcBorders>
              <w:top w:val="single" w:color="auto" w:sz="6" w:space="0"/>
              <w:left w:val="single" w:color="auto" w:sz="6" w:space="0"/>
              <w:bottom w:val="nil"/>
              <w:right w:val="nil"/>
            </w:tcBorders>
            <w:noWrap w:val="0"/>
            <w:vAlign w:val="center"/>
          </w:tcPr>
          <w:p>
            <w:pPr>
              <w:widowControl/>
              <w:rPr>
                <w:rFonts w:hint="eastAsia" w:ascii="宋体" w:hAnsi="宋体" w:cs="宋体"/>
                <w:sz w:val="24"/>
                <w:szCs w:val="24"/>
              </w:rPr>
            </w:pPr>
            <w:r>
              <w:rPr>
                <w:rFonts w:hint="eastAsia" w:ascii="宋体" w:hAnsi="宋体" w:cs="Tahoma"/>
                <w:kern w:val="0"/>
                <w:sz w:val="24"/>
                <w:szCs w:val="24"/>
              </w:rPr>
              <w:t>检测方式：至少包含比色法。</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6823" w:type="dxa"/>
            <w:tcBorders>
              <w:top w:val="single" w:color="auto" w:sz="6" w:space="0"/>
              <w:left w:val="single" w:color="auto" w:sz="6" w:space="0"/>
              <w:bottom w:val="nil"/>
              <w:right w:val="nil"/>
            </w:tcBorders>
            <w:noWrap w:val="0"/>
            <w:vAlign w:val="center"/>
          </w:tcPr>
          <w:p>
            <w:pPr>
              <w:widowControl/>
              <w:rPr>
                <w:rFonts w:hint="eastAsia"/>
                <w:bCs/>
              </w:rPr>
            </w:pPr>
            <w:r>
              <w:rPr>
                <w:rFonts w:hint="eastAsia" w:ascii="宋体" w:hAnsi="宋体" w:cs="宋体"/>
                <w:bCs/>
                <w:sz w:val="24"/>
                <w:szCs w:val="24"/>
              </w:rPr>
              <w:t>具备</w:t>
            </w:r>
            <w:r>
              <w:rPr>
                <w:rFonts w:hint="eastAsia" w:ascii="宋体" w:hAnsi="宋体" w:cs="宋体"/>
                <w:bCs/>
                <w:color w:val="000000"/>
                <w:kern w:val="0"/>
                <w:sz w:val="24"/>
                <w:szCs w:val="24"/>
                <w:lang w:bidi="ar"/>
              </w:rPr>
              <w:t>集成前处理功能：可以根据实验类型，选择前处理功能，能够将样本的高温煮沸离心等流程省去。</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12</w:t>
            </w:r>
          </w:p>
        </w:tc>
        <w:tc>
          <w:tcPr>
            <w:tcW w:w="6823" w:type="dxa"/>
            <w:tcBorders>
              <w:top w:val="single" w:color="auto" w:sz="6" w:space="0"/>
              <w:left w:val="single" w:color="auto" w:sz="6" w:space="0"/>
              <w:bottom w:val="nil"/>
              <w:right w:val="nil"/>
            </w:tcBorders>
            <w:noWrap w:val="0"/>
            <w:vAlign w:val="center"/>
          </w:tcPr>
          <w:p>
            <w:pPr>
              <w:widowControl/>
              <w:rPr>
                <w:rFonts w:hint="eastAsia"/>
                <w:bCs/>
              </w:rPr>
            </w:pPr>
            <w:r>
              <w:rPr>
                <w:rFonts w:hint="eastAsia" w:ascii="宋体" w:hAnsi="宋体" w:cs="宋体"/>
                <w:bCs/>
                <w:color w:val="000000"/>
                <w:kern w:val="0"/>
                <w:sz w:val="24"/>
                <w:szCs w:val="24"/>
                <w:lang w:bidi="ar"/>
              </w:rPr>
              <w:t>试剂条批号检测：内置条码模块自动检测试剂条相关信息，确保实验无误。</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13</w:t>
            </w:r>
          </w:p>
        </w:tc>
        <w:tc>
          <w:tcPr>
            <w:tcW w:w="6823" w:type="dxa"/>
            <w:tcBorders>
              <w:top w:val="single" w:color="auto" w:sz="6" w:space="0"/>
              <w:left w:val="single" w:color="auto" w:sz="6" w:space="0"/>
              <w:bottom w:val="nil"/>
              <w:right w:val="nil"/>
            </w:tcBorders>
            <w:noWrap w:val="0"/>
            <w:vAlign w:val="center"/>
          </w:tcPr>
          <w:p>
            <w:pPr>
              <w:widowControl/>
              <w:rPr>
                <w:rFonts w:hint="eastAsia"/>
                <w:lang w:val="en-US" w:eastAsia="zh-CN"/>
              </w:rPr>
            </w:pPr>
            <w:r>
              <w:rPr>
                <w:rFonts w:hint="eastAsia" w:ascii="宋体" w:hAnsi="宋体" w:cs="宋体"/>
                <w:bCs/>
                <w:color w:val="000000"/>
                <w:kern w:val="0"/>
                <w:sz w:val="24"/>
                <w:szCs w:val="24"/>
                <w:lang w:bidi="ar"/>
              </w:rPr>
              <w:t>样本录入：使用设备自带代码模块，可以方便录入病人样本信息。</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bCs/>
                <w:color w:val="000000"/>
                <w:kern w:val="0"/>
                <w:sz w:val="24"/>
                <w:szCs w:val="24"/>
                <w:lang w:bidi="ar"/>
              </w:rPr>
              <w:t>▲</w:t>
            </w:r>
            <w:r>
              <w:rPr>
                <w:rFonts w:hint="eastAsia" w:ascii="宋体" w:hAnsi="宋体" w:cs="宋体"/>
                <w:color w:val="000000"/>
                <w:kern w:val="0"/>
                <w:sz w:val="24"/>
                <w:szCs w:val="24"/>
              </w:rPr>
              <w:t>14</w:t>
            </w:r>
          </w:p>
        </w:tc>
        <w:tc>
          <w:tcPr>
            <w:tcW w:w="6823" w:type="dxa"/>
            <w:tcBorders>
              <w:top w:val="single" w:color="auto" w:sz="6" w:space="0"/>
              <w:left w:val="single" w:color="auto" w:sz="6" w:space="0"/>
              <w:bottom w:val="nil"/>
              <w:right w:val="nil"/>
            </w:tcBorders>
            <w:noWrap w:val="0"/>
            <w:vAlign w:val="center"/>
          </w:tcPr>
          <w:p>
            <w:pPr>
              <w:widowControl/>
              <w:rPr>
                <w:rFonts w:hint="eastAsia"/>
                <w:lang w:val="en-US" w:eastAsia="zh-CN"/>
              </w:rPr>
            </w:pPr>
            <w:r>
              <w:rPr>
                <w:rFonts w:hint="eastAsia" w:ascii="宋体" w:hAnsi="宋体" w:cs="宋体"/>
                <w:bCs/>
                <w:color w:val="000000"/>
                <w:kern w:val="0"/>
                <w:sz w:val="24"/>
                <w:szCs w:val="24"/>
                <w:lang w:bidi="ar"/>
              </w:rPr>
              <w:t>检测项目：至少包括G试验、内毒素试验、GM等多个项目的定量检测。</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15</w:t>
            </w:r>
          </w:p>
        </w:tc>
        <w:tc>
          <w:tcPr>
            <w:tcW w:w="6823" w:type="dxa"/>
            <w:tcBorders>
              <w:top w:val="single" w:color="auto" w:sz="6" w:space="0"/>
              <w:left w:val="single" w:color="auto" w:sz="6" w:space="0"/>
              <w:bottom w:val="nil"/>
              <w:right w:val="nil"/>
            </w:tcBorders>
            <w:noWrap w:val="0"/>
            <w:vAlign w:val="center"/>
          </w:tcPr>
          <w:p>
            <w:pPr>
              <w:widowControl/>
              <w:rPr>
                <w:rFonts w:hint="eastAsia"/>
                <w:lang w:val="en-US" w:eastAsia="zh-CN"/>
              </w:rPr>
            </w:pPr>
            <w:r>
              <w:rPr>
                <w:rFonts w:hint="eastAsia" w:ascii="宋体" w:hAnsi="宋体" w:cs="宋体"/>
                <w:bCs/>
                <w:color w:val="000000"/>
                <w:kern w:val="0"/>
                <w:sz w:val="24"/>
                <w:szCs w:val="24"/>
                <w:lang w:bidi="ar"/>
              </w:rPr>
              <w:t>全自动完成真菌项目试验，包括前处理、孵育、清洗、读数及结果判断全过程实验。</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16</w:t>
            </w:r>
          </w:p>
        </w:tc>
        <w:tc>
          <w:tcPr>
            <w:tcW w:w="6823" w:type="dxa"/>
            <w:tcBorders>
              <w:top w:val="single" w:color="auto" w:sz="6" w:space="0"/>
              <w:left w:val="single" w:color="auto" w:sz="6" w:space="0"/>
              <w:bottom w:val="nil"/>
              <w:right w:val="nil"/>
            </w:tcBorders>
            <w:noWrap w:val="0"/>
            <w:vAlign w:val="center"/>
          </w:tcPr>
          <w:p>
            <w:pPr>
              <w:widowControl/>
              <w:rPr>
                <w:rFonts w:hint="eastAsia"/>
                <w:lang w:val="en-US" w:eastAsia="zh-CN"/>
              </w:rPr>
            </w:pPr>
            <w:r>
              <w:rPr>
                <w:rFonts w:hint="eastAsia" w:ascii="宋体" w:hAnsi="宋体" w:cs="宋体"/>
                <w:bCs/>
                <w:color w:val="000000"/>
                <w:kern w:val="0"/>
                <w:sz w:val="24"/>
                <w:szCs w:val="24"/>
                <w:lang w:bidi="ar"/>
              </w:rPr>
              <w:t xml:space="preserve">集成工控电脑及软件：配置高性能，工业品质的工控电脑，软件出厂预装在电脑中，支持和医院 LIS 系统互联。 </w:t>
            </w:r>
          </w:p>
        </w:tc>
        <w:tc>
          <w:tcPr>
            <w:tcW w:w="93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专机配套试剂最高限价</w:t>
            </w:r>
          </w:p>
        </w:tc>
        <w:tc>
          <w:tcPr>
            <w:tcW w:w="8880" w:type="dxa"/>
            <w:gridSpan w:val="3"/>
            <w:tcBorders>
              <w:top w:val="single" w:color="auto" w:sz="6" w:space="0"/>
              <w:left w:val="single" w:color="auto" w:sz="6" w:space="0"/>
              <w:bottom w:val="nil"/>
              <w:right w:val="nil"/>
            </w:tcBorders>
            <w:noWrap w:val="0"/>
            <w:vAlign w:val="center"/>
          </w:tcPr>
          <w:p>
            <w:pPr>
              <w:pStyle w:val="7"/>
              <w:jc w:val="left"/>
              <w:rPr>
                <w:rFonts w:hint="eastAsia"/>
                <w:lang w:val="en-US" w:eastAsia="zh-CN"/>
              </w:rPr>
            </w:pPr>
            <w:r>
              <w:rPr>
                <w:rFonts w:hint="eastAsia" w:cs="宋体"/>
                <w:sz w:val="24"/>
                <w:szCs w:val="24"/>
                <w:lang w:eastAsia="zh-CN"/>
              </w:rPr>
              <w:t>真菌葡萄糖检测试剂盒</w:t>
            </w:r>
            <w:r>
              <w:rPr>
                <w:rFonts w:hint="eastAsia" w:cs="宋体"/>
                <w:sz w:val="24"/>
                <w:szCs w:val="24"/>
                <w:lang w:val="en-US" w:eastAsia="zh-CN"/>
              </w:rPr>
              <w:t xml:space="preserve">  75</w:t>
            </w:r>
            <w:r>
              <w:rPr>
                <w:rFonts w:hint="eastAsia"/>
                <w:lang w:val="en-US" w:eastAsia="zh-CN"/>
              </w:rPr>
              <w:t>元/人份</w:t>
            </w:r>
          </w:p>
          <w:p>
            <w:pPr>
              <w:pStyle w:val="7"/>
              <w:jc w:val="left"/>
              <w:rPr>
                <w:rFonts w:hint="default"/>
                <w:lang w:val="en-US" w:eastAsia="zh-CN"/>
              </w:rPr>
            </w:pPr>
            <w:r>
              <w:rPr>
                <w:rFonts w:hint="eastAsia"/>
                <w:lang w:val="en-US" w:eastAsia="zh-CN"/>
              </w:rPr>
              <w:t>曲霉菌半乳甘露聚糖检测试剂盒  75元/人份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6"/>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6"/>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7B5317"/>
    <w:rsid w:val="04A80842"/>
    <w:rsid w:val="04D7648A"/>
    <w:rsid w:val="04FA14E6"/>
    <w:rsid w:val="0531362C"/>
    <w:rsid w:val="054D6974"/>
    <w:rsid w:val="055B7022"/>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EF12944"/>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DEF14FF"/>
    <w:rsid w:val="3F033133"/>
    <w:rsid w:val="3F07560F"/>
    <w:rsid w:val="3F130266"/>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line="360" w:lineRule="auto"/>
      <w:ind w:left="720" w:hanging="720" w:hangingChars="300"/>
    </w:pPr>
    <w:rPr>
      <w:sz w:val="24"/>
      <w:szCs w:val="20"/>
    </w:rPr>
  </w:style>
  <w:style w:type="paragraph" w:styleId="7">
    <w:name w:val="Body Text"/>
    <w:basedOn w:val="1"/>
    <w:qFormat/>
    <w:uiPriority w:val="0"/>
    <w:pPr>
      <w:jc w:val="center"/>
    </w:pPr>
    <w:rPr>
      <w:rFonts w:ascii="宋体" w:hAnsi="宋体"/>
      <w:color w:val="FF0000"/>
      <w:szCs w:val="24"/>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6"/>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5"/>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4"/>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7119</Words>
  <Characters>7342</Characters>
  <Lines>48</Lines>
  <Paragraphs>13</Paragraphs>
  <TotalTime>4</TotalTime>
  <ScaleCrop>false</ScaleCrop>
  <LinksUpToDate>false</LinksUpToDate>
  <CharactersWithSpaces>8102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2023-05-22T01:53:27Z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79DD0976DB1845899A338CBADAF47BC6</vt:lpwstr>
  </property>
</Properties>
</file>