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2861"/>
      <w:bookmarkStart w:id="4" w:name="_Toc201743116"/>
      <w:bookmarkStart w:id="5" w:name="_Toc20199794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病理密集档案柜</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1</w:t>
            </w:r>
          </w:p>
        </w:tc>
        <w:tc>
          <w:tcPr>
            <w:tcW w:w="5415" w:type="dxa"/>
            <w:tcBorders>
              <w:top w:val="single" w:color="auto" w:sz="6" w:space="0"/>
              <w:left w:val="single" w:color="auto" w:sz="6" w:space="0"/>
              <w:bottom w:val="nil"/>
              <w:right w:val="nil"/>
            </w:tcBorders>
            <w:noWrap w:val="0"/>
            <w:vAlign w:val="center"/>
          </w:tcPr>
          <w:p>
            <w:pPr>
              <w:pStyle w:val="26"/>
              <w:widowControl/>
              <w:spacing w:before="100" w:beforeAutospacing="1" w:after="100" w:afterAutospacing="1"/>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kern w:val="0"/>
                <w:sz w:val="24"/>
                <w:szCs w:val="24"/>
              </w:rPr>
              <w:t>病理密集柜共5套，包括蜡块柜2套，切片柜3套，与科室现有密集柜匹配。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kern w:val="0"/>
                <w:sz w:val="24"/>
                <w:szCs w:val="24"/>
              </w:rPr>
              <w:t>每套整体高</w:t>
            </w:r>
            <w:r>
              <w:rPr>
                <w:rFonts w:hint="eastAsia" w:ascii="宋体" w:hAnsi="宋体" w:eastAsia="宋体" w:cs="宋体"/>
                <w:bCs/>
                <w:kern w:val="0"/>
                <w:sz w:val="24"/>
                <w:szCs w:val="24"/>
              </w:rPr>
              <w:t>≥2100mm，宽≥2800mm，深≥460mm，。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kern w:val="0"/>
                <w:sz w:val="24"/>
                <w:szCs w:val="24"/>
                <w:lang w:eastAsia="zh-CN"/>
              </w:rPr>
              <w:t>每套</w:t>
            </w:r>
            <w:r>
              <w:rPr>
                <w:rFonts w:hint="eastAsia" w:ascii="宋体" w:hAnsi="宋体" w:eastAsia="宋体" w:cs="宋体"/>
                <w:bCs/>
                <w:kern w:val="0"/>
                <w:sz w:val="24"/>
                <w:szCs w:val="24"/>
              </w:rPr>
              <w:t>顶部预留350-360mm左右空间用于纸质档案存放，底盘高145-155cm，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kern w:val="0"/>
                <w:sz w:val="24"/>
                <w:szCs w:val="24"/>
                <w:lang w:eastAsia="zh-CN"/>
              </w:rPr>
              <w:t>每套</w:t>
            </w:r>
            <w:r>
              <w:rPr>
                <w:rFonts w:hint="eastAsia" w:ascii="宋体" w:hAnsi="宋体" w:eastAsia="宋体" w:cs="宋体"/>
                <w:bCs/>
                <w:kern w:val="0"/>
                <w:sz w:val="24"/>
                <w:szCs w:val="24"/>
              </w:rPr>
              <w:t>立柱数量≥4对，侧面装护板，外侧组装门面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000000"/>
                <w:sz w:val="24"/>
                <w:szCs w:val="24"/>
                <w:shd w:val="clear" w:color="auto" w:fill="FFFFFF"/>
              </w:rPr>
              <w:t>每套密集架均装有制动装置，摇杆手柄为折叠式。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sz w:val="24"/>
                <w:szCs w:val="24"/>
                <w:shd w:val="clear" w:color="auto" w:fill="FFFFFF"/>
              </w:rPr>
              <w:t>密集架各套之间装有磁性吸力橡胶密封条装置，架体顶部装有防尘板，底盘装有防鼠挡板。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FF0000"/>
                <w:sz w:val="24"/>
                <w:szCs w:val="24"/>
              </w:rPr>
              <w:t>▲</w:t>
            </w:r>
            <w:r>
              <w:rPr>
                <w:rFonts w:hint="eastAsia" w:ascii="宋体" w:hAnsi="宋体" w:eastAsia="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rPr>
              <w:t>底盘厚度</w:t>
            </w:r>
            <w:r>
              <w:rPr>
                <w:rFonts w:hint="eastAsia" w:ascii="宋体" w:hAnsi="宋体" w:eastAsia="宋体" w:cs="宋体"/>
                <w:bCs/>
                <w:kern w:val="0"/>
                <w:sz w:val="24"/>
                <w:szCs w:val="24"/>
              </w:rPr>
              <w:t>≥3mm，立柱厚度≥1.5mm，隔板厚度≥1.2mm，门板厚度≥1.0mm，地轨及底盘承重≥1300KG，具体材质质量、尺寸、厚度等性能不低于科室现有密集柜。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FF0000"/>
                <w:sz w:val="24"/>
                <w:szCs w:val="24"/>
              </w:rPr>
              <w:t>▲</w:t>
            </w:r>
            <w:r>
              <w:rPr>
                <w:rFonts w:hint="eastAsia" w:ascii="宋体" w:hAnsi="宋体" w:eastAsia="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000000"/>
                <w:kern w:val="0"/>
                <w:sz w:val="24"/>
                <w:szCs w:val="24"/>
              </w:rPr>
              <w:t>蜡块柜规格：</w:t>
            </w:r>
            <w:r>
              <w:rPr>
                <w:rFonts w:hint="eastAsia" w:ascii="宋体" w:hAnsi="宋体" w:eastAsia="宋体" w:cs="宋体"/>
                <w:bCs/>
                <w:kern w:val="0"/>
                <w:sz w:val="24"/>
                <w:szCs w:val="24"/>
              </w:rPr>
              <w:t>每套共5列， 每列共≥24个抽屉，每个抽屉宽≥380mm，高≥53mm，深≥400mm，设内隔板将抽屉内分列，每列宽33-37mm。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蜡块柜要求：抽屉大小一致，可取出互换组合，采用</w:t>
            </w:r>
            <w:r>
              <w:rPr>
                <w:rFonts w:hint="eastAsia" w:ascii="宋体" w:hAnsi="宋体" w:eastAsia="宋体" w:cs="宋体"/>
                <w:bCs/>
                <w:kern w:val="0"/>
                <w:sz w:val="24"/>
                <w:szCs w:val="24"/>
              </w:rPr>
              <w:t>三节承重钢珠式静音导轨，有可靠的联锁装置，柜体无折弯无焊缝，有防脱落保护装置。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eastAsia="宋体" w:cs="宋体"/>
                <w:color w:val="FF0000"/>
                <w:sz w:val="24"/>
                <w:szCs w:val="24"/>
              </w:rPr>
              <w:t>▲</w:t>
            </w:r>
            <w:r>
              <w:rPr>
                <w:rFonts w:hint="eastAsia" w:ascii="宋体" w:hAnsi="宋体" w:eastAsia="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切片柜规格：每套共5列，每列</w:t>
            </w:r>
            <w:r>
              <w:rPr>
                <w:rFonts w:hint="eastAsia" w:ascii="宋体" w:hAnsi="宋体" w:eastAsia="宋体" w:cs="宋体"/>
                <w:bCs/>
                <w:kern w:val="0"/>
                <w:sz w:val="24"/>
                <w:szCs w:val="24"/>
              </w:rPr>
              <w:t>≥</w:t>
            </w:r>
            <w:r>
              <w:rPr>
                <w:rFonts w:hint="eastAsia" w:ascii="宋体" w:hAnsi="宋体" w:eastAsia="宋体" w:cs="宋体"/>
                <w:color w:val="000000"/>
                <w:kern w:val="0"/>
                <w:sz w:val="24"/>
                <w:szCs w:val="24"/>
              </w:rPr>
              <w:t>12排，每排</w:t>
            </w:r>
            <w:r>
              <w:rPr>
                <w:rFonts w:hint="eastAsia" w:ascii="宋体" w:hAnsi="宋体" w:eastAsia="宋体" w:cs="宋体"/>
                <w:bCs/>
                <w:kern w:val="0"/>
                <w:sz w:val="24"/>
                <w:szCs w:val="24"/>
              </w:rPr>
              <w:t>≥</w:t>
            </w:r>
            <w:r>
              <w:rPr>
                <w:rFonts w:hint="eastAsia" w:ascii="宋体" w:hAnsi="宋体" w:eastAsia="宋体" w:cs="宋体"/>
                <w:color w:val="000000"/>
                <w:kern w:val="0"/>
                <w:sz w:val="24"/>
                <w:szCs w:val="24"/>
              </w:rPr>
              <w:t>6个抽屉，每个抽屉宽</w:t>
            </w:r>
            <w:r>
              <w:rPr>
                <w:rFonts w:hint="eastAsia" w:ascii="宋体" w:hAnsi="宋体" w:eastAsia="宋体" w:cs="宋体"/>
                <w:bCs/>
                <w:kern w:val="0"/>
                <w:sz w:val="24"/>
                <w:szCs w:val="24"/>
              </w:rPr>
              <w:t>≥62</w:t>
            </w:r>
            <w:r>
              <w:rPr>
                <w:rFonts w:hint="eastAsia" w:ascii="宋体" w:hAnsi="宋体" w:eastAsia="宋体" w:cs="宋体"/>
                <w:color w:val="000000"/>
                <w:kern w:val="0"/>
                <w:sz w:val="24"/>
                <w:szCs w:val="24"/>
              </w:rPr>
              <w:t>mm，高</w:t>
            </w:r>
            <w:r>
              <w:rPr>
                <w:rFonts w:hint="eastAsia" w:ascii="宋体" w:hAnsi="宋体" w:eastAsia="宋体" w:cs="宋体"/>
                <w:bCs/>
                <w:kern w:val="0"/>
                <w:sz w:val="24"/>
                <w:szCs w:val="24"/>
              </w:rPr>
              <w:t>≥92</w:t>
            </w:r>
            <w:r>
              <w:rPr>
                <w:rFonts w:hint="eastAsia" w:ascii="宋体" w:hAnsi="宋体" w:eastAsia="宋体" w:cs="宋体"/>
                <w:color w:val="000000"/>
                <w:kern w:val="0"/>
                <w:sz w:val="24"/>
                <w:szCs w:val="24"/>
              </w:rPr>
              <w:t>mm，深</w:t>
            </w:r>
            <w:r>
              <w:rPr>
                <w:rFonts w:hint="eastAsia" w:ascii="宋体" w:hAnsi="宋体" w:eastAsia="宋体" w:cs="宋体"/>
                <w:bCs/>
                <w:kern w:val="0"/>
                <w:sz w:val="24"/>
                <w:szCs w:val="24"/>
              </w:rPr>
              <w:t>≥400</w:t>
            </w:r>
            <w:r>
              <w:rPr>
                <w:rFonts w:hint="eastAsia" w:ascii="宋体" w:hAnsi="宋体" w:eastAsia="宋体" w:cs="宋体"/>
                <w:color w:val="000000"/>
                <w:kern w:val="0"/>
                <w:sz w:val="24"/>
                <w:szCs w:val="24"/>
              </w:rPr>
              <w:t>mm，</w:t>
            </w:r>
            <w:r>
              <w:rPr>
                <w:rFonts w:hint="eastAsia" w:ascii="宋体" w:hAnsi="宋体" w:eastAsia="宋体" w:cs="宋体"/>
                <w:bCs/>
                <w:kern w:val="0"/>
                <w:sz w:val="24"/>
                <w:szCs w:val="24"/>
              </w:rPr>
              <w:t>每个抽屉内有一个T字型槽把切片分开。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color w:val="000000"/>
                <w:kern w:val="0"/>
                <w:sz w:val="24"/>
                <w:szCs w:val="24"/>
              </w:rPr>
              <w:t>切片柜要求：抽屉大小一致，可取出互换组合，</w:t>
            </w:r>
            <w:r>
              <w:rPr>
                <w:rFonts w:hint="eastAsia" w:ascii="宋体" w:hAnsi="宋体" w:eastAsia="宋体" w:cs="宋体"/>
                <w:kern w:val="0"/>
                <w:sz w:val="24"/>
                <w:szCs w:val="24"/>
              </w:rPr>
              <w:t>滑道采用一次成型标准滑道</w:t>
            </w:r>
            <w:r>
              <w:rPr>
                <w:rFonts w:hint="eastAsia" w:ascii="宋体" w:hAnsi="宋体" w:eastAsia="宋体" w:cs="宋体"/>
                <w:bCs/>
                <w:kern w:val="0"/>
                <w:sz w:val="24"/>
                <w:szCs w:val="24"/>
              </w:rPr>
              <w:t>，柜体无折弯无焊缝，有防脱落保护装置，</w:t>
            </w:r>
            <w:r>
              <w:rPr>
                <w:rFonts w:hint="eastAsia" w:ascii="宋体" w:hAnsi="宋体" w:eastAsia="宋体" w:cs="宋体"/>
                <w:kern w:val="0"/>
                <w:sz w:val="24"/>
                <w:szCs w:val="24"/>
              </w:rPr>
              <w:t>T字型槽为模具一体冲压成型。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E81F62"/>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060209"/>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6766</Words>
  <Characters>6954</Characters>
  <Lines>48</Lines>
  <Paragraphs>13</Paragraphs>
  <TotalTime>0</TotalTime>
  <ScaleCrop>false</ScaleCrop>
  <LinksUpToDate>false</LinksUpToDate>
  <CharactersWithSpaces>7710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2023-02-08T06:09:04Z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2A5DC0B52E264BDCA9D5C391384BACA0</vt:lpwstr>
  </property>
</Properties>
</file>