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r>
              <w:rPr>
                <w:rFonts w:hint="eastAsia" w:ascii="宋体" w:hAnsi="宋体"/>
                <w:color w:val="auto"/>
                <w:sz w:val="24"/>
                <w:szCs w:val="24"/>
                <w:lang w:val="en-US" w:eastAsia="zh-CN"/>
              </w:rPr>
              <w:t>(其中设备10分，专机配套耗材20分）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numPr>
                <w:ilvl w:val="0"/>
                <w:numId w:val="0"/>
              </w:numPr>
              <w:ind w:leftChars="0" w:right="-73" w:rightChars="-35"/>
              <w:jc w:val="left"/>
              <w:rPr>
                <w:rFonts w:ascii="宋体" w:hAnsi="宋体" w:cs="宋体"/>
                <w:color w:val="FF0000"/>
                <w:szCs w:val="21"/>
              </w:rPr>
            </w:pPr>
            <w:r>
              <w:rPr>
                <w:rFonts w:hint="eastAsia"/>
              </w:rPr>
              <w:t>投标人应如实填写《技术规格偏离表》，评审委员会根据技术需求参数响应情况进行打分，各项技术参数指标及要求全部满足的得45分，</w:t>
            </w:r>
            <w:r>
              <w:rPr>
                <w:rFonts w:hint="eastAsia" w:ascii="宋体" w:hAnsi="宋体" w:cs="宋体"/>
                <w:color w:val="FF0000"/>
                <w:szCs w:val="21"/>
              </w:rPr>
              <w:t>带“▲”为重要参</w:t>
            </w:r>
            <w:bookmarkStart w:id="15" w:name="_GoBack"/>
            <w:bookmarkEnd w:id="15"/>
            <w:r>
              <w:rPr>
                <w:rFonts w:hint="eastAsia" w:ascii="宋体" w:hAnsi="宋体" w:cs="宋体"/>
                <w:color w:val="FF0000"/>
                <w:szCs w:val="21"/>
              </w:rPr>
              <w:t>数，满分</w:t>
            </w:r>
            <w:r>
              <w:rPr>
                <w:rFonts w:hint="eastAsia" w:ascii="宋体" w:hAnsi="宋体" w:cs="宋体"/>
                <w:color w:val="FF0000"/>
                <w:szCs w:val="21"/>
                <w:lang w:val="en-US" w:eastAsia="zh-CN"/>
              </w:rPr>
              <w:t>25</w:t>
            </w:r>
            <w:r>
              <w:rPr>
                <w:rFonts w:hint="eastAsia" w:ascii="宋体" w:hAnsi="宋体" w:cs="宋体"/>
                <w:color w:val="FF0000"/>
                <w:szCs w:val="21"/>
              </w:rPr>
              <w:t>分。每负偏离一项扣</w:t>
            </w:r>
            <w:r>
              <w:rPr>
                <w:rFonts w:hint="eastAsia" w:ascii="宋体" w:hAnsi="宋体" w:cs="宋体"/>
                <w:color w:val="FF0000"/>
                <w:szCs w:val="21"/>
                <w:lang w:val="en-US" w:eastAsia="zh-CN"/>
              </w:rPr>
              <w:t>5</w:t>
            </w:r>
            <w:r>
              <w:rPr>
                <w:rFonts w:hint="eastAsia" w:ascii="宋体" w:hAnsi="宋体" w:cs="宋体"/>
                <w:color w:val="FF0000"/>
                <w:szCs w:val="21"/>
              </w:rPr>
              <w:t>分，若负偏离超过</w:t>
            </w:r>
            <w:r>
              <w:rPr>
                <w:rFonts w:hint="eastAsia" w:ascii="宋体" w:hAnsi="宋体" w:cs="宋体"/>
                <w:color w:val="FF0000"/>
                <w:szCs w:val="21"/>
                <w:lang w:val="en-US" w:eastAsia="zh-CN"/>
              </w:rPr>
              <w:t>5</w:t>
            </w:r>
            <w:r>
              <w:rPr>
                <w:rFonts w:hint="eastAsia" w:ascii="宋体" w:hAnsi="宋体" w:cs="宋体"/>
                <w:color w:val="FF0000"/>
                <w:szCs w:val="21"/>
              </w:rPr>
              <w:t>（含）项，本项不得分。其他参数满分</w:t>
            </w:r>
            <w:r>
              <w:rPr>
                <w:rFonts w:hint="eastAsia" w:ascii="宋体" w:hAnsi="宋体" w:cs="宋体"/>
                <w:color w:val="FF0000"/>
                <w:szCs w:val="21"/>
                <w:lang w:val="en-US" w:eastAsia="zh-CN"/>
              </w:rPr>
              <w:t>20</w:t>
            </w:r>
            <w:r>
              <w:rPr>
                <w:rFonts w:hint="eastAsia" w:ascii="宋体" w:hAnsi="宋体" w:cs="宋体"/>
                <w:color w:val="FF0000"/>
                <w:szCs w:val="21"/>
              </w:rPr>
              <w:t>分。每负偏离一项扣</w:t>
            </w:r>
            <w:r>
              <w:rPr>
                <w:rFonts w:hint="eastAsia" w:ascii="宋体" w:hAnsi="宋体" w:cs="宋体"/>
                <w:color w:val="FF0000"/>
                <w:szCs w:val="21"/>
                <w:lang w:val="en-US" w:eastAsia="zh-CN"/>
              </w:rPr>
              <w:t>1</w:t>
            </w:r>
            <w:r>
              <w:rPr>
                <w:rFonts w:hint="eastAsia" w:ascii="宋体" w:hAnsi="宋体" w:cs="宋体"/>
                <w:color w:val="FF0000"/>
                <w:szCs w:val="21"/>
              </w:rPr>
              <w:t>分，若负偏离超过10（含）项，本项不得分。</w:t>
            </w:r>
          </w:p>
          <w:p>
            <w:pPr>
              <w:spacing w:line="280" w:lineRule="exact"/>
            </w:pPr>
          </w:p>
          <w:p>
            <w:pPr>
              <w:spacing w:line="280" w:lineRule="exact"/>
              <w:rPr>
                <w:rFonts w:hint="eastAsia"/>
              </w:rPr>
            </w:pPr>
            <w:r>
              <w:rPr>
                <w:rFonts w:hint="eastAsia"/>
              </w:rPr>
              <w:t>注：</w:t>
            </w:r>
            <w:r>
              <w:t>对带三角号（</w:t>
            </w:r>
            <w:r>
              <w:rPr>
                <w:rFonts w:hint="eastAsia"/>
              </w:rPr>
              <w:t>“▲”</w:t>
            </w:r>
            <w:r>
              <w:t>）的重要技术参数投标人必须提供相关证明材料（技术白皮书、彩页、产品说明书或检测报告等），否则按负偏离进行扣分。</w:t>
            </w:r>
          </w:p>
          <w:p>
            <w:pPr>
              <w:pStyle w:val="6"/>
              <w:numPr>
                <w:ilvl w:val="0"/>
                <w:numId w:val="0"/>
              </w:num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3116"/>
      <w:bookmarkStart w:id="4" w:name="_Toc201742861"/>
      <w:bookmarkStart w:id="5" w:name="_Toc201719118"/>
      <w:bookmarkStart w:id="6" w:name="_Toc20140165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77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tbl>
            <w:tblPr>
              <w:tblStyle w:val="14"/>
              <w:tblW w:w="8798"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614"/>
              <w:gridCol w:w="624"/>
              <w:gridCol w:w="691"/>
              <w:gridCol w:w="2300"/>
              <w:gridCol w:w="156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83" w:hRule="atLeast"/>
                <w:tblHeader/>
                <w:tblCellSpacing w:w="0" w:type="dxa"/>
              </w:trPr>
              <w:tc>
                <w:tcPr>
                  <w:tcW w:w="361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62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69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230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569"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肺功能检测设备</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9.9999万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8798"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b/>
                      <w:bCs/>
                      <w:color w:val="auto"/>
                      <w:sz w:val="24"/>
                      <w:szCs w:val="24"/>
                      <w:lang w:val="en-US" w:eastAsia="zh-CN"/>
                    </w:rPr>
                    <w:t>其中：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心肺功能测试仪</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肺功能检测呼吸康复训练仪</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4.9999万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67" w:hRule="atLeast"/>
                <w:tblCellSpacing w:w="0" w:type="dxa"/>
              </w:trPr>
              <w:tc>
                <w:tcPr>
                  <w:tcW w:w="8798" w:type="dxa"/>
                  <w:gridSpan w:val="5"/>
                  <w:tcBorders>
                    <w:top w:val="single" w:color="auto" w:sz="6" w:space="0"/>
                    <w:left w:val="single" w:color="auto" w:sz="6" w:space="0"/>
                    <w:bottom w:val="nil"/>
                    <w:right w:val="nil"/>
                  </w:tcBorders>
                  <w:noWrap w:val="0"/>
                  <w:vAlign w:val="center"/>
                </w:tcPr>
                <w:p>
                  <w:pPr>
                    <w:pStyle w:val="6"/>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心肺功能测试仪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3"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设备用途：用于儿童及成人的呼吸功能测试，包含慢通气功能、流量容积环和用力时间肺活量、每分最大通气量、舒张试验、激发试验等心肺功能检测，可满足临床诊断及科研需求。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慢通气功能主要测试参数：最大肺活量VCmax,、潮气量VT,、呼吸频率BF、 每分通气量MV、补呼气量ERV、深吸气量IC等。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流量容积环和用力时间肺活量主要测试参数：用力肺活量FVCex、0.75秒量FEV0.75、一秒量FEV1、峰流量PEF、25%呼气流量MEF25、MEF50、MEF75、中段呼气流量MEF25-75、一秒率FEV1%FVC等。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每分最大通气量主要测试参数：最大通气量MVV、 FEV1*35等。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舒张试验：用药前后比较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激发试验：具有自动给药装置，内置多种激发给药规程，能从一种或2种药物浓度产生不同的给药剂量，可精确完成各种支气管反应性检查。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t>7</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传感器：数字超声流量传感器，长寿命设计，清洗消毒方便，可不借助任何工具直接拆卸清洗，清洗后能立即投入使用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8</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传感器超声时间分辨率≤10纳秒，流量分辨率≤0.6毫升/秒。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9</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传感器中间没有任何阻力筛网等障碍物，呼吸阻力为0。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t>11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流量测量范围：0-20L/S；测试精度：在0-16 L/S范围内，分辨率为1ml/s，误差±3%。容量测量范围：0-20L。测试确度：在0-12L范围内，分辨率为1ml，误差±3%。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12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传感器内置温度、湿度及大气压传感器，实时测量口腔处的环境参数，自动BTPS校正，数据更准确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13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全中文报告单，报告单可以word、excel、PDF等多种格式任意输出，报告单中参数术语必须中英同时显示，不能只显示英文术语。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14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重复性：通气功能测试需同一个界面上支持不少于10条FV曲线和用力时间肺活量曲线的叠加，并显示每条测试曲线的具体测试参数。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质量控制：在测试界面，每次流量容积环测试结束后，测试软件能按ATS和ERS的质控要求，对测试结果自动分析每条测试数据是否满足其质控要求，并标记出哪一点没达到质控要求，方便受试者后续改进。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自动评估功能：可根据流量容积环的测试结果自动给出中文的诊断文字意见，内容必须包括测试质控等级、是否正常、属于哪类型的通气功能障碍以及严重程度。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扩展升级功能：后续可根据需要增加婴幼儿潮气呼吸环等测试功能。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配置要求：</w:t>
            </w:r>
            <w:r>
              <w:rPr>
                <w:rFonts w:hint="eastAsia" w:ascii="宋体" w:hAnsi="宋体" w:eastAsia="宋体" w:cs="宋体"/>
                <w:sz w:val="24"/>
                <w:szCs w:val="24"/>
              </w:rPr>
              <w:t>主机 1个</w:t>
            </w:r>
            <w:r>
              <w:rPr>
                <w:rFonts w:hint="eastAsia" w:ascii="宋体" w:hAnsi="宋体" w:eastAsia="宋体" w:cs="宋体"/>
                <w:sz w:val="24"/>
                <w:szCs w:val="24"/>
                <w:lang w:eastAsia="zh-CN"/>
              </w:rPr>
              <w:t>；</w:t>
            </w:r>
            <w:r>
              <w:rPr>
                <w:rFonts w:hint="eastAsia" w:ascii="宋体" w:hAnsi="宋体" w:eastAsia="宋体" w:cs="宋体"/>
                <w:sz w:val="24"/>
                <w:szCs w:val="24"/>
              </w:rPr>
              <w:t>超声流量传感器 1个</w:t>
            </w:r>
            <w:r>
              <w:rPr>
                <w:rFonts w:hint="eastAsia" w:ascii="宋体" w:hAnsi="宋体" w:eastAsia="宋体" w:cs="宋体"/>
                <w:sz w:val="24"/>
                <w:szCs w:val="24"/>
                <w:lang w:eastAsia="zh-CN"/>
              </w:rPr>
              <w:t>；</w:t>
            </w:r>
            <w:r>
              <w:rPr>
                <w:rFonts w:hint="eastAsia" w:ascii="宋体" w:hAnsi="宋体" w:eastAsia="宋体" w:cs="宋体"/>
                <w:sz w:val="24"/>
                <w:szCs w:val="24"/>
              </w:rPr>
              <w:t>激发试验套件 1套</w:t>
            </w:r>
            <w:r>
              <w:rPr>
                <w:rFonts w:hint="eastAsia" w:ascii="宋体" w:hAnsi="宋体" w:eastAsia="宋体" w:cs="宋体"/>
                <w:sz w:val="24"/>
                <w:szCs w:val="24"/>
                <w:lang w:eastAsia="zh-CN"/>
              </w:rPr>
              <w:t>；</w:t>
            </w:r>
            <w:r>
              <w:rPr>
                <w:rFonts w:hint="eastAsia" w:ascii="宋体" w:hAnsi="宋体" w:eastAsia="宋体" w:cs="宋体"/>
                <w:sz w:val="24"/>
                <w:szCs w:val="24"/>
              </w:rPr>
              <w:t>操作手册 1本</w:t>
            </w:r>
            <w:r>
              <w:rPr>
                <w:rFonts w:hint="eastAsia" w:ascii="宋体" w:hAnsi="宋体" w:eastAsia="宋体" w:cs="宋体"/>
                <w:sz w:val="24"/>
                <w:szCs w:val="24"/>
                <w:lang w:eastAsia="zh-CN"/>
              </w:rPr>
              <w:t>；</w:t>
            </w:r>
            <w:r>
              <w:rPr>
                <w:rFonts w:hint="eastAsia" w:ascii="宋体" w:hAnsi="宋体" w:eastAsia="宋体" w:cs="宋体"/>
                <w:sz w:val="24"/>
                <w:szCs w:val="24"/>
              </w:rPr>
              <w:t>移动台车 1个</w:t>
            </w:r>
            <w:r>
              <w:rPr>
                <w:rFonts w:hint="eastAsia" w:ascii="宋体" w:hAnsi="宋体" w:eastAsia="宋体" w:cs="宋体"/>
                <w:sz w:val="24"/>
                <w:szCs w:val="24"/>
                <w:lang w:eastAsia="zh-CN"/>
              </w:rPr>
              <w:t>；</w:t>
            </w:r>
            <w:r>
              <w:rPr>
                <w:rFonts w:hint="eastAsia" w:ascii="宋体" w:hAnsi="宋体" w:eastAsia="宋体" w:cs="宋体"/>
                <w:sz w:val="24"/>
                <w:szCs w:val="24"/>
              </w:rPr>
              <w:t>液压支撑臂 1个</w:t>
            </w:r>
            <w:r>
              <w:rPr>
                <w:rFonts w:hint="eastAsia" w:ascii="宋体" w:hAnsi="宋体" w:eastAsia="宋体" w:cs="宋体"/>
                <w:sz w:val="24"/>
                <w:szCs w:val="24"/>
                <w:lang w:eastAsia="zh-CN"/>
              </w:rPr>
              <w:t>；</w:t>
            </w:r>
            <w:r>
              <w:rPr>
                <w:rFonts w:hint="eastAsia" w:ascii="宋体" w:hAnsi="宋体" w:eastAsia="宋体" w:cs="宋体"/>
                <w:sz w:val="24"/>
                <w:szCs w:val="24"/>
              </w:rPr>
              <w:t>隔离电源 1个</w:t>
            </w:r>
            <w:r>
              <w:rPr>
                <w:rFonts w:hint="eastAsia" w:ascii="宋体" w:hAnsi="宋体" w:eastAsia="宋体" w:cs="宋体"/>
                <w:sz w:val="24"/>
                <w:szCs w:val="24"/>
                <w:lang w:eastAsia="zh-CN"/>
              </w:rPr>
              <w:t>；</w:t>
            </w:r>
            <w:r>
              <w:rPr>
                <w:rFonts w:hint="eastAsia" w:ascii="宋体" w:hAnsi="宋体" w:eastAsia="宋体" w:cs="宋体"/>
                <w:sz w:val="24"/>
                <w:szCs w:val="24"/>
              </w:rPr>
              <w:t>计算机 1台</w:t>
            </w:r>
            <w:r>
              <w:rPr>
                <w:rFonts w:hint="eastAsia" w:ascii="宋体" w:hAnsi="宋体" w:eastAsia="宋体" w:cs="宋体"/>
                <w:sz w:val="24"/>
                <w:szCs w:val="24"/>
                <w:lang w:eastAsia="zh-CN"/>
              </w:rPr>
              <w:t>；</w:t>
            </w:r>
            <w:r>
              <w:rPr>
                <w:rFonts w:hint="eastAsia" w:ascii="宋体" w:hAnsi="宋体" w:eastAsia="宋体" w:cs="宋体"/>
                <w:sz w:val="24"/>
                <w:szCs w:val="24"/>
              </w:rPr>
              <w:t>打印机 1台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专机配套耗材限价</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一次性过滤型咬嘴</w:t>
            </w:r>
            <w:r>
              <w:rPr>
                <w:rFonts w:hint="eastAsia" w:ascii="宋体" w:hAnsi="宋体" w:eastAsia="宋体" w:cs="宋体"/>
                <w:sz w:val="24"/>
                <w:szCs w:val="24"/>
                <w:lang w:val="en-US" w:eastAsia="zh-CN"/>
              </w:rPr>
              <w:t>20元/个。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肺功能检测呼吸康复训练仪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57" w:type="dxa"/>
            <w:tcBorders>
              <w:top w:val="single" w:color="auto" w:sz="6" w:space="0"/>
              <w:left w:val="single" w:color="auto" w:sz="6" w:space="0"/>
              <w:bottom w:val="nil"/>
              <w:right w:val="nil"/>
            </w:tcBorders>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具备肺通气功能检测、流速容积V-V曲线、最大分钟通气量、慢通气检测、支气管舒张试验，呼吸肌力测定、呼吸训练；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w:t>
            </w:r>
          </w:p>
        </w:tc>
        <w:tc>
          <w:tcPr>
            <w:tcW w:w="7757" w:type="dxa"/>
            <w:tcBorders>
              <w:top w:val="single" w:color="auto" w:sz="6" w:space="0"/>
              <w:left w:val="single" w:color="auto" w:sz="6" w:space="0"/>
              <w:bottom w:val="nil"/>
              <w:right w:val="nil"/>
            </w:tcBorders>
            <w:noWrap w:val="0"/>
            <w:vAlign w:val="center"/>
          </w:tcPr>
          <w:p>
            <w:pPr>
              <w:pStyle w:val="2"/>
              <w:rPr>
                <w:rFonts w:hint="eastAsia" w:ascii="宋体" w:hAnsi="宋体" w:eastAsia="宋体" w:cs="宋体"/>
                <w:sz w:val="24"/>
                <w:szCs w:val="24"/>
                <w:lang w:val="en-US" w:eastAsia="zh-CN"/>
              </w:rPr>
            </w:pPr>
            <w:r>
              <w:rPr>
                <w:rFonts w:hint="eastAsia" w:ascii="宋体" w:hAnsi="宋体" w:eastAsia="宋体" w:cs="宋体"/>
                <w:b w:val="0"/>
                <w:sz w:val="24"/>
                <w:szCs w:val="24"/>
              </w:rPr>
              <w:t>检测参数需包含：FVC、FEV1、FEV3、FEV6、FEV1/FVC、 FEV1/FVC、PEF、FEF25、FEF50、FEF75、MMEF、Vexp、FET、VC、VT、IRV、ERV、IC、MVV、MEP、PIF、FIVC、MIP等指标；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lang w:val="zh-CN"/>
              </w:rPr>
              <w:t>针对依从性较差无法完成用力肺活量检测的受试者，提供分段式呼气检测和吸气检测以提高配合程度。</w:t>
            </w:r>
            <w:r>
              <w:rPr>
                <w:rFonts w:hint="eastAsia" w:ascii="宋体" w:hAnsi="宋体" w:eastAsia="宋体" w:cs="宋体"/>
                <w:sz w:val="24"/>
                <w:szCs w:val="24"/>
              </w:rPr>
              <w:t>智能语音提醒测试过程；质控结果A-F级自动评定分析；</w:t>
            </w:r>
            <w:r>
              <w:rPr>
                <w:rFonts w:hint="eastAsia" w:ascii="宋体" w:hAnsi="宋体" w:eastAsia="宋体" w:cs="宋体"/>
                <w:color w:val="000000"/>
                <w:sz w:val="24"/>
                <w:szCs w:val="24"/>
                <w:lang w:val="zh-CN"/>
              </w:rPr>
              <w:t>通过显示屏提供情景互动训练，可检测呼吸节奏和深度是否达到预定目标。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4</w:t>
            </w:r>
          </w:p>
        </w:tc>
        <w:tc>
          <w:tcPr>
            <w:tcW w:w="7757" w:type="dxa"/>
            <w:tcBorders>
              <w:top w:val="single" w:color="auto" w:sz="6" w:space="0"/>
              <w:left w:val="single" w:color="auto" w:sz="6" w:space="0"/>
              <w:bottom w:val="nil"/>
              <w:right w:val="nil"/>
            </w:tcBorders>
            <w:noWrap w:val="0"/>
            <w:vAlign w:val="center"/>
          </w:tcPr>
          <w:p>
            <w:pPr>
              <w:pStyle w:val="2"/>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lang w:val="zh-CN"/>
              </w:rPr>
              <w:t>具备肺康复训练功能，双重训练模式，可调整训练阻抗，训练、检测结果可按照周/月/季形成历史趋势图表和相应简报。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可出具多份肺功能报告（肺通气功能，最大通气量、流速容积曲线），呼吸肌力测评报告，支气管舒张试验报告，自我评估问卷报告，康复训练数据，关键指标MIP、MEP。</w:t>
            </w:r>
            <w:r>
              <w:rPr>
                <w:rFonts w:hint="eastAsia" w:ascii="宋体" w:hAnsi="宋体" w:eastAsia="宋体" w:cs="宋体"/>
                <w:kern w:val="0"/>
                <w:sz w:val="24"/>
                <w:szCs w:val="24"/>
              </w:rPr>
              <w:t>报告可显示最大分钟通气、流速/容积环，压力/容积曲线，流速/容积曲线检测。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6</w:t>
            </w:r>
          </w:p>
        </w:tc>
        <w:tc>
          <w:tcPr>
            <w:tcW w:w="7757" w:type="dxa"/>
            <w:tcBorders>
              <w:top w:val="single" w:color="auto" w:sz="6" w:space="0"/>
              <w:left w:val="single" w:color="auto" w:sz="6" w:space="0"/>
              <w:bottom w:val="nil"/>
              <w:right w:val="nil"/>
            </w:tcBorders>
            <w:noWrap w:val="0"/>
            <w:vAlign w:val="center"/>
          </w:tcPr>
          <w:p>
            <w:pPr>
              <w:pStyle w:val="2"/>
              <w:rPr>
                <w:rFonts w:hint="eastAsia" w:ascii="宋体" w:hAnsi="宋体" w:eastAsia="宋体" w:cs="宋体"/>
                <w:sz w:val="24"/>
                <w:szCs w:val="24"/>
                <w:lang w:val="en-US" w:eastAsia="zh-CN"/>
              </w:rPr>
            </w:pPr>
            <w:r>
              <w:rPr>
                <w:rFonts w:hint="eastAsia" w:ascii="宋体" w:hAnsi="宋体" w:eastAsia="宋体" w:cs="宋体"/>
                <w:b w:val="0"/>
                <w:sz w:val="24"/>
                <w:szCs w:val="24"/>
              </w:rPr>
              <w:t>便携式设计，支持单机操作，可不借助其他辅助终端使用：主机可录入患者信息、支气管舒张操作，主机可查看完整A4肺功能报告；主机具备WIFI及蓝牙数据传输；主机可问卷调查评估操作，方便床旁及现场流调等工作开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专机配套耗材限价</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一次性肺功能仪用过滤器</w:t>
            </w:r>
            <w:r>
              <w:rPr>
                <w:rFonts w:hint="eastAsia" w:ascii="宋体" w:hAnsi="宋体" w:eastAsia="宋体" w:cs="宋体"/>
                <w:sz w:val="24"/>
                <w:szCs w:val="24"/>
                <w:lang w:val="en-US" w:eastAsia="zh-CN"/>
              </w:rPr>
              <w:t>35元/个。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60C413C"/>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0E13D7E"/>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012F72"/>
    <w:rsid w:val="33CC15C4"/>
    <w:rsid w:val="33FA3136"/>
    <w:rsid w:val="34D45868"/>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061A0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qFormat/>
    <w:uiPriority w:val="0"/>
    <w:pPr>
      <w:jc w:val="center"/>
    </w:pPr>
    <w:rPr>
      <w:rFonts w:ascii="宋体" w:hAnsi="宋体"/>
      <w:color w:val="FF0000"/>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4"/>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2"/>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7922</Words>
  <Characters>8275</Characters>
  <Lines>48</Lines>
  <Paragraphs>13</Paragraphs>
  <TotalTime>7</TotalTime>
  <ScaleCrop>false</ScaleCrop>
  <LinksUpToDate>false</LinksUpToDate>
  <CharactersWithSpaces>9031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2022-05-16T02:36:55Z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2A5DC0B52E264BDCA9D5C391384BACA0</vt:lpwstr>
  </property>
</Properties>
</file>