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5</w:t>
            </w:r>
            <w:bookmarkStart w:id="15" w:name="_GoBack"/>
            <w:bookmarkEnd w:id="15"/>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719118"/>
      <w:bookmarkStart w:id="4" w:name="_Toc201997946"/>
      <w:bookmarkStart w:id="5" w:name="_Toc201401658"/>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索诺声超声探头</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val="en-US" w:eastAsia="zh-CN"/>
                    </w:rPr>
                    <w:t>2</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140000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rPr>
            </w:pPr>
            <w:r>
              <w:rPr>
                <w:rFonts w:hint="eastAsia"/>
              </w:rPr>
              <w:t>1</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b/>
                <w:bCs/>
                <w:color w:val="FF0000"/>
                <w:kern w:val="0"/>
                <w:sz w:val="24"/>
                <w:szCs w:val="24"/>
              </w:rPr>
            </w:pPr>
            <w:r>
              <w:rPr>
                <w:rFonts w:hint="eastAsia"/>
                <w:sz w:val="22"/>
              </w:rPr>
              <w:t>适配机型：索诺声便携式超声诊断系统，机器型号：</w:t>
            </w:r>
            <w:r>
              <w:rPr>
                <w:sz w:val="22"/>
              </w:rPr>
              <w:t>M-Turbo</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b/>
                <w:bCs/>
                <w:color w:val="FF0000"/>
                <w:kern w:val="0"/>
                <w:sz w:val="24"/>
                <w:szCs w:val="24"/>
              </w:rPr>
            </w:pPr>
            <w:r>
              <w:rPr>
                <w:rFonts w:hint="eastAsia"/>
                <w:sz w:val="22"/>
              </w:rPr>
              <w:t>核心材料：纯净波单晶体，类型：线阵探头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b/>
                <w:bCs/>
                <w:color w:val="FF0000"/>
                <w:kern w:val="0"/>
                <w:sz w:val="24"/>
                <w:szCs w:val="24"/>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b/>
                <w:bCs/>
                <w:color w:val="FF0000"/>
                <w:kern w:val="0"/>
                <w:sz w:val="24"/>
                <w:szCs w:val="24"/>
              </w:rPr>
            </w:pPr>
            <w:r>
              <w:rPr>
                <w:rFonts w:hint="eastAsia"/>
                <w:sz w:val="22"/>
              </w:rPr>
              <w:t>适用临床检查类型：腹部器官、血管、术中神经、儿科、成人小器官（乳腺、甲状腺、睾丸、前列腺）肌骨（常规和表面）外周血管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b/>
                <w:bCs/>
                <w:color w:val="FF0000"/>
                <w:kern w:val="0"/>
                <w:sz w:val="24"/>
                <w:szCs w:val="24"/>
              </w:rPr>
            </w:pPr>
            <w:r>
              <w:rPr>
                <w:rFonts w:hint="eastAsia"/>
                <w:sz w:val="22"/>
              </w:rPr>
              <w:t>成像模式：二围、</w:t>
            </w:r>
            <w:r>
              <w:rPr>
                <w:sz w:val="22"/>
              </w:rPr>
              <w:t>M</w:t>
            </w:r>
            <w:r>
              <w:rPr>
                <w:rFonts w:hint="eastAsia"/>
                <w:sz w:val="22"/>
              </w:rPr>
              <w:t>型、彩色能量多普、脉冲波多普勒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sz w:val="22"/>
              </w:rPr>
              <w:t>频率范围：</w:t>
            </w:r>
            <w:r>
              <w:rPr>
                <w:sz w:val="22"/>
              </w:rPr>
              <w:t xml:space="preserve">13.0-6.0MHz  </w:t>
            </w:r>
            <w:r>
              <w:rPr>
                <w:rFonts w:hint="eastAsia"/>
                <w:sz w:val="22"/>
              </w:rPr>
              <w:t>中心频率：</w:t>
            </w:r>
            <w:r>
              <w:rPr>
                <w:sz w:val="22"/>
              </w:rPr>
              <w:t>9.0 MHz</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b/>
                <w:bCs/>
                <w:color w:val="FF0000"/>
                <w:kern w:val="0"/>
                <w:sz w:val="24"/>
                <w:szCs w:val="24"/>
              </w:rPr>
            </w:pPr>
            <w:r>
              <w:rPr>
                <w:rFonts w:hint="eastAsia"/>
                <w:sz w:val="22"/>
              </w:rPr>
              <w:t>侧（横）向分辨率：</w:t>
            </w:r>
            <w:r>
              <w:rPr>
                <w:rFonts w:hint="eastAsia" w:ascii="宋体" w:hAnsi="宋体"/>
                <w:sz w:val="22"/>
              </w:rPr>
              <w:t>≤</w:t>
            </w:r>
            <w:r>
              <w:rPr>
                <w:sz w:val="22"/>
              </w:rPr>
              <w:t>1mm</w:t>
            </w:r>
            <w:r>
              <w:rPr>
                <w:rFonts w:hint="eastAsia" w:ascii="宋体" w:hAnsi="宋体"/>
                <w:sz w:val="22"/>
              </w:rPr>
              <w:t xml:space="preserve">（深度≤30mm）， </w:t>
            </w:r>
            <w:r>
              <w:rPr>
                <w:rFonts w:hint="eastAsia"/>
                <w:sz w:val="22"/>
              </w:rPr>
              <w:t>轴（纵）向分辨率：</w:t>
            </w:r>
            <w:r>
              <w:rPr>
                <w:rFonts w:hint="eastAsia" w:ascii="宋体" w:hAnsi="宋体"/>
                <w:sz w:val="22"/>
              </w:rPr>
              <w:t>≤</w:t>
            </w:r>
            <w:r>
              <w:rPr>
                <w:sz w:val="22"/>
              </w:rPr>
              <w:t>0.5mm</w:t>
            </w:r>
            <w:r>
              <w:rPr>
                <w:rFonts w:hint="eastAsia" w:ascii="宋体" w:hAnsi="宋体"/>
                <w:sz w:val="22"/>
              </w:rPr>
              <w:t>（深度≤30mm）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sz w:val="21"/>
                <w:szCs w:val="21"/>
              </w:rPr>
            </w:pPr>
            <w:r>
              <w:rPr>
                <w:rFonts w:hint="eastAsia"/>
                <w:sz w:val="22"/>
              </w:rPr>
              <w:t>探测深度：</w:t>
            </w:r>
            <w:r>
              <w:rPr>
                <w:rFonts w:hint="eastAsia" w:ascii="宋体" w:hAnsi="宋体"/>
                <w:sz w:val="22"/>
              </w:rPr>
              <w:t>≥50mm，盲区：≤2mm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rPr>
            </w:pPr>
            <w:r>
              <w:rPr>
                <w:rFonts w:hint="eastAsia" w:ascii="宋体" w:hAnsi="宋体"/>
                <w:sz w:val="22"/>
              </w:rPr>
              <w:t>横向几何位置精度：≤5％，纵向几何位置精度：≤5％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rPr>
            </w:pPr>
            <w:r>
              <w:rPr>
                <w:rFonts w:hint="eastAsia" w:ascii="宋体" w:hAnsi="宋体"/>
                <w:sz w:val="22"/>
              </w:rPr>
              <w:t>切片厚度：≤3mm，周长测量偏差：≤±5％，面积测量偏差：≤±5％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9FC5283"/>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306540"/>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534485"/>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053A0B"/>
    <w:rsid w:val="60405D44"/>
    <w:rsid w:val="604959AE"/>
    <w:rsid w:val="60E216EA"/>
    <w:rsid w:val="610D2545"/>
    <w:rsid w:val="613269C6"/>
    <w:rsid w:val="61371FA3"/>
    <w:rsid w:val="61C15C3A"/>
    <w:rsid w:val="62001EE2"/>
    <w:rsid w:val="620C6CE6"/>
    <w:rsid w:val="62867A17"/>
    <w:rsid w:val="632640B2"/>
    <w:rsid w:val="63D3063A"/>
    <w:rsid w:val="64477A04"/>
    <w:rsid w:val="64714C1E"/>
    <w:rsid w:val="64893CF5"/>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8B7D55"/>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2021-12-15T02:04:47Z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79DD0976DB1845899A338CBADAF47BC6</vt:lpwstr>
  </property>
</Properties>
</file>