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w:t>
            </w:r>
            <w:bookmarkStart w:id="15" w:name="_GoBack"/>
            <w:bookmarkEnd w:id="15"/>
            <w:r>
              <w:rPr>
                <w:rFonts w:hint="eastAsia" w:ascii="宋体" w:hAnsi="宋体"/>
                <w:sz w:val="24"/>
                <w:szCs w:val="24"/>
              </w:rPr>
              <w:t>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w:t>
            </w:r>
            <w:r>
              <w:rPr>
                <w:rFonts w:hint="eastAsia"/>
              </w:rPr>
              <w:t>分，其他参数每负偏离一项扣</w:t>
            </w:r>
            <w:r>
              <w:rPr>
                <w:rFonts w:hint="eastAsia"/>
                <w:lang w:val="en-US" w:eastAsia="zh-CN"/>
              </w:rPr>
              <w:t>6</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401658"/>
      <w:bookmarkStart w:id="4" w:name="_Toc201742861"/>
      <w:bookmarkStart w:id="5" w:name="_Toc201719118"/>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正压装置</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5.9万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000000"/>
                    </w:rPr>
                  </w:pPr>
                  <w:r>
                    <w:rPr>
                      <w:rFonts w:hint="eastAsia" w:ascii="宋体" w:hAnsi="宋体" w:cs="宋体"/>
                      <w:color w:val="000000"/>
                    </w:rPr>
                    <w:t>正压固相萃取装置主机1台（包含配件如下）</w:t>
                  </w:r>
                </w:p>
                <w:p>
                  <w:pPr>
                    <w:widowControl/>
                    <w:spacing w:before="100" w:beforeAutospacing="1" w:after="100" w:afterAutospacing="1"/>
                    <w:jc w:val="left"/>
                    <w:rPr>
                      <w:rFonts w:hint="eastAsia" w:ascii="宋体" w:hAnsi="宋体" w:cs="宋体"/>
                      <w:color w:val="000000"/>
                    </w:rPr>
                  </w:pPr>
                  <w:r>
                    <w:rPr>
                      <w:rFonts w:hint="eastAsia" w:ascii="宋体" w:hAnsi="宋体" w:cs="宋体"/>
                      <w:color w:val="000000"/>
                    </w:rPr>
                    <w:t>1)</w:t>
                  </w:r>
                  <w:r>
                    <w:rPr>
                      <w:rFonts w:hint="eastAsia" w:ascii="宋体" w:hAnsi="宋体" w:cs="宋体"/>
                      <w:color w:val="000000"/>
                    </w:rPr>
                    <w:tab/>
                  </w:r>
                  <w:r>
                    <w:rPr>
                      <w:rFonts w:hint="eastAsia" w:ascii="宋体" w:hAnsi="宋体" w:cs="宋体"/>
                      <w:color w:val="000000"/>
                    </w:rPr>
                    <w:t>1个1ml96孔收集板</w:t>
                  </w:r>
                </w:p>
                <w:p>
                  <w:pPr>
                    <w:widowControl/>
                    <w:spacing w:before="100" w:beforeAutospacing="1" w:after="100" w:afterAutospacing="1"/>
                    <w:jc w:val="left"/>
                    <w:rPr>
                      <w:rFonts w:hint="eastAsia" w:ascii="宋体" w:hAnsi="宋体" w:cs="宋体"/>
                      <w:color w:val="000000"/>
                    </w:rPr>
                  </w:pPr>
                  <w:r>
                    <w:rPr>
                      <w:rFonts w:hint="eastAsia" w:ascii="宋体" w:hAnsi="宋体" w:cs="宋体"/>
                      <w:color w:val="000000"/>
                    </w:rPr>
                    <w:t>2)</w:t>
                  </w:r>
                  <w:r>
                    <w:rPr>
                      <w:rFonts w:hint="eastAsia" w:ascii="宋体" w:hAnsi="宋体" w:cs="宋体"/>
                      <w:color w:val="000000"/>
                    </w:rPr>
                    <w:tab/>
                  </w:r>
                  <w:r>
                    <w:rPr>
                      <w:rFonts w:hint="eastAsia" w:ascii="宋体" w:hAnsi="宋体" w:cs="宋体"/>
                      <w:color w:val="000000"/>
                    </w:rPr>
                    <w:t>1个2ml96孔收集板</w:t>
                  </w:r>
                </w:p>
                <w:p>
                  <w:pPr>
                    <w:widowControl/>
                    <w:spacing w:before="100" w:beforeAutospacing="1" w:after="100" w:afterAutospacing="1"/>
                    <w:jc w:val="left"/>
                    <w:rPr>
                      <w:rFonts w:hint="eastAsia" w:ascii="宋体" w:hAnsi="宋体" w:cs="宋体"/>
                      <w:color w:val="000000"/>
                    </w:rPr>
                  </w:pPr>
                  <w:r>
                    <w:rPr>
                      <w:rFonts w:hint="eastAsia" w:ascii="宋体" w:hAnsi="宋体" w:cs="宋体"/>
                      <w:color w:val="000000"/>
                    </w:rPr>
                    <w:t>3)</w:t>
                  </w:r>
                  <w:r>
                    <w:rPr>
                      <w:rFonts w:hint="eastAsia" w:ascii="宋体" w:hAnsi="宋体" w:cs="宋体"/>
                      <w:color w:val="000000"/>
                    </w:rPr>
                    <w:tab/>
                  </w:r>
                  <w:r>
                    <w:rPr>
                      <w:rFonts w:hint="eastAsia" w:ascii="宋体" w:hAnsi="宋体" w:cs="宋体"/>
                      <w:color w:val="000000"/>
                    </w:rPr>
                    <w:t>1个10ml24孔废液收集板</w:t>
                  </w:r>
                </w:p>
                <w:p>
                  <w:pPr>
                    <w:widowControl/>
                    <w:spacing w:before="100" w:beforeAutospacing="1" w:after="100" w:afterAutospacing="1"/>
                    <w:jc w:val="left"/>
                    <w:rPr>
                      <w:rFonts w:hint="eastAsia" w:ascii="宋体" w:hAnsi="宋体" w:cs="宋体"/>
                      <w:color w:val="000000"/>
                    </w:rPr>
                  </w:pPr>
                  <w:r>
                    <w:rPr>
                      <w:rFonts w:hint="eastAsia" w:ascii="宋体" w:hAnsi="宋体" w:cs="宋体"/>
                      <w:color w:val="000000"/>
                    </w:rPr>
                    <w:t>4)</w:t>
                  </w:r>
                  <w:r>
                    <w:rPr>
                      <w:rFonts w:hint="eastAsia" w:ascii="宋体" w:hAnsi="宋体" w:cs="宋体"/>
                      <w:color w:val="000000"/>
                    </w:rPr>
                    <w:tab/>
                  </w:r>
                  <w:r>
                    <w:rPr>
                      <w:rFonts w:hint="eastAsia" w:ascii="宋体" w:hAnsi="宋体" w:cs="宋体"/>
                      <w:color w:val="000000"/>
                    </w:rPr>
                    <w:t>96孔密封垫和使用手册</w:t>
                  </w:r>
                </w:p>
                <w:p>
                  <w:pPr>
                    <w:pStyle w:val="2"/>
                    <w:jc w:val="both"/>
                    <w:rPr>
                      <w:rFonts w:hint="default" w:eastAsia="宋体" w:cs="宋体"/>
                      <w:color w:val="auto"/>
                      <w:kern w:val="0"/>
                      <w:sz w:val="24"/>
                      <w:szCs w:val="24"/>
                      <w:lang w:val="en-US" w:eastAsia="zh-CN"/>
                    </w:rPr>
                  </w:pPr>
                  <w:r>
                    <w:rPr>
                      <w:rFonts w:hint="eastAsia" w:ascii="宋体" w:hAnsi="宋体" w:cs="宋体"/>
                      <w:color w:val="000000"/>
                    </w:rPr>
                    <w:t>5)</w:t>
                  </w:r>
                  <w:r>
                    <w:rPr>
                      <w:rFonts w:hint="eastAsia" w:ascii="宋体" w:hAnsi="宋体" w:cs="宋体"/>
                      <w:color w:val="000000"/>
                    </w:rPr>
                    <w:tab/>
                  </w:r>
                  <w:r>
                    <w:rPr>
                      <w:rFonts w:hint="eastAsia" w:ascii="宋体" w:hAnsi="宋体" w:cs="宋体"/>
                      <w:color w:val="000000"/>
                    </w:rPr>
                    <w:t>气体管路连接套件</w:t>
                  </w: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center"/>
              <w:rPr>
                <w:rFonts w:hint="eastAsia" w:ascii="宋体" w:hAnsi="宋体" w:eastAsia="宋体" w:cs="宋体"/>
                <w:b w:val="0"/>
                <w:bCs w:val="0"/>
                <w:color w:val="auto"/>
                <w:sz w:val="21"/>
                <w:szCs w:val="21"/>
                <w:lang w:val="en-US" w:eastAsia="zh-CN"/>
              </w:rPr>
            </w:pPr>
            <w:r>
              <w:rPr>
                <w:rFonts w:hint="eastAsia"/>
              </w:rPr>
              <w:t>1</w:t>
            </w:r>
          </w:p>
        </w:tc>
        <w:tc>
          <w:tcPr>
            <w:tcW w:w="5415" w:type="dxa"/>
            <w:tcBorders>
              <w:top w:val="single" w:color="auto" w:sz="6" w:space="0"/>
              <w:left w:val="single" w:color="auto" w:sz="6" w:space="0"/>
              <w:bottom w:val="nil"/>
              <w:right w:val="nil"/>
            </w:tcBorders>
            <w:noWrap w:val="0"/>
            <w:vAlign w:val="top"/>
          </w:tcPr>
          <w:p>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jc w:val="left"/>
              <w:rPr>
                <w:rFonts w:hint="default" w:ascii="宋体" w:hAnsi="宋体" w:eastAsia="宋体" w:cs="宋体"/>
                <w:b w:val="0"/>
                <w:bCs w:val="0"/>
                <w:color w:val="auto"/>
                <w:kern w:val="0"/>
                <w:sz w:val="21"/>
                <w:szCs w:val="21"/>
                <w:lang w:val="en-US" w:eastAsia="zh-CN" w:bidi="ar-SA"/>
              </w:rPr>
            </w:pPr>
            <w:r>
              <w:rPr>
                <w:rFonts w:hint="eastAsia"/>
              </w:rPr>
              <w:t>工作模式：驱动为氮气或压缩空气，不需通电操作</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rPr>
                <w:rFonts w:hint="eastAsia"/>
              </w:rPr>
              <w:t>96孔板规格：兼容各种规格的96孔板，包括标准规格的固相萃取板、微量固相萃取板、1mL和2mL收集板以及浅孔板。</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center"/>
              <w:rPr>
                <w:rFonts w:hint="eastAsia" w:ascii="宋体" w:hAnsi="宋体" w:eastAsia="宋体" w:cs="宋体"/>
                <w:b w:val="0"/>
                <w:bCs w:val="0"/>
                <w:color w:val="auto"/>
                <w:kern w:val="0"/>
                <w:sz w:val="21"/>
                <w:szCs w:val="21"/>
                <w:highlight w:val="none"/>
                <w:lang w:val="en-US" w:eastAsia="zh-CN"/>
              </w:rPr>
            </w:pPr>
            <w:r>
              <w:rPr>
                <w:rFonts w:hint="eastAsia"/>
                <w:color w:val="FF0000"/>
              </w:rPr>
              <w:t>▲</w:t>
            </w:r>
            <w:r>
              <w:rPr>
                <w:rFonts w:hint="eastAsia"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default" w:ascii="宋体" w:hAnsi="宋体" w:eastAsia="宋体" w:cs="宋体"/>
                <w:b w:val="0"/>
                <w:bCs w:val="0"/>
                <w:color w:val="auto"/>
                <w:sz w:val="21"/>
                <w:szCs w:val="21"/>
                <w:highlight w:val="none"/>
                <w:lang w:val="en-US" w:eastAsia="zh-CN"/>
              </w:rPr>
            </w:pPr>
            <w:r>
              <w:rPr>
                <w:rFonts w:hint="eastAsia"/>
              </w:rPr>
              <w:t>压力控制：独立的两级气体压力调节，低压区调节范围为0-15psi最大压力调节为0-100psi</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ascii="宋体" w:hAnsi="宋体" w:cs="宋体"/>
                <w:color w:val="000000"/>
                <w:kern w:val="0"/>
                <w:sz w:val="24"/>
                <w:szCs w:val="24"/>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color w:val="FF0000"/>
              </w:rPr>
              <w:t>▲</w:t>
            </w:r>
            <w:r>
              <w:rPr>
                <w:rFonts w:hint="eastAsia"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default" w:ascii="宋体" w:hAnsi="宋体" w:eastAsia="宋体" w:cs="宋体"/>
                <w:b w:val="0"/>
                <w:bCs w:val="0"/>
                <w:color w:val="auto"/>
                <w:sz w:val="21"/>
                <w:szCs w:val="21"/>
                <w:lang w:val="en-US" w:eastAsia="zh-CN"/>
              </w:rPr>
            </w:pPr>
            <w:r>
              <w:rPr>
                <w:rFonts w:hint="eastAsia"/>
              </w:rPr>
              <w:t>气体流量调节：针式气体流量阀精确控制气体流量0-1180 mL/min，从而精确控制液体流速</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ascii="宋体" w:hAnsi="宋体" w:cs="宋体"/>
                <w:color w:val="000000"/>
                <w:kern w:val="0"/>
                <w:sz w:val="24"/>
                <w:szCs w:val="24"/>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default" w:ascii="宋体" w:hAnsi="宋体" w:eastAsia="宋体" w:cs="宋体"/>
                <w:b w:val="0"/>
                <w:bCs w:val="0"/>
                <w:color w:val="auto"/>
                <w:sz w:val="21"/>
                <w:szCs w:val="21"/>
                <w:lang w:val="en-US" w:eastAsia="zh-CN"/>
              </w:rPr>
            </w:pPr>
            <w:r>
              <w:rPr>
                <w:rFonts w:hint="eastAsia"/>
              </w:rPr>
              <w:t>进气压力：60-100 psi</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cs="宋体"/>
                <w:color w:val="000000"/>
                <w:kern w:val="0"/>
                <w:sz w:val="24"/>
                <w:szCs w:val="24"/>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color w:val="FF0000"/>
              </w:rPr>
              <w:t>▲</w:t>
            </w:r>
            <w:r>
              <w:rPr>
                <w:rFonts w:hint="eastAsia"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b w:val="0"/>
                <w:bCs w:val="0"/>
                <w:color w:val="auto"/>
                <w:sz w:val="21"/>
                <w:szCs w:val="21"/>
                <w:highlight w:val="none"/>
                <w:lang w:eastAsia="zh-CN"/>
              </w:rPr>
            </w:pPr>
            <w:r>
              <w:rPr>
                <w:rFonts w:hint="eastAsia"/>
              </w:rPr>
              <w:t>双按键安全设计，避免误操作夹手</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ascii="宋体" w:hAnsi="宋体" w:cs="宋体"/>
                <w:color w:val="000000"/>
                <w:kern w:val="0"/>
                <w:sz w:val="24"/>
                <w:szCs w:val="24"/>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rPr>
                <w:rFonts w:hint="eastAsia"/>
              </w:rPr>
              <w:t>可更换式气密垫，防止交叉污染</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251049"/>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2021-09-13T06:57:03Z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2A5DC0B52E264BDCA9D5C391384BACA0</vt:lpwstr>
  </property>
</Properties>
</file>