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lang w:val="en-US" w:eastAsia="zh-CN"/>
              </w:rPr>
              <w:t>55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w:t>
            </w:r>
            <w:r>
              <w:rPr>
                <w:rFonts w:hint="eastAsia"/>
                <w:lang w:val="en-US" w:eastAsia="zh-CN"/>
              </w:rPr>
              <w:t>50</w:t>
            </w:r>
            <w:r>
              <w:rPr>
                <w:rFonts w:hint="eastAsia"/>
              </w:rPr>
              <w:t>分，带“▲”为重要参数，每负偏离一项扣</w:t>
            </w:r>
            <w:r>
              <w:rPr>
                <w:rFonts w:hint="eastAsia"/>
                <w:lang w:val="en-US" w:eastAsia="zh-CN"/>
              </w:rPr>
              <w:t>4.5</w:t>
            </w:r>
            <w:r>
              <w:rPr>
                <w:rFonts w:hint="eastAsia"/>
              </w:rPr>
              <w:t>分，其他参数每负偏离一项扣</w:t>
            </w:r>
            <w:r>
              <w:rPr>
                <w:rFonts w:hint="eastAsia"/>
                <w:lang w:val="en-US" w:eastAsia="zh-CN"/>
              </w:rPr>
              <w:t>2.5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分，良</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bookmarkStart w:id="15" w:name="_GoBack"/>
            <w:bookmarkEnd w:id="15"/>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lang w:val="en-US" w:eastAsia="zh-CN"/>
              </w:rPr>
              <w:t>3</w:t>
            </w:r>
            <w:r>
              <w:rPr>
                <w:rFonts w:hint="eastAsia" w:ascii="宋体" w:hAnsi="宋体" w:cs="宋体"/>
                <w:sz w:val="24"/>
                <w:szCs w:val="24"/>
              </w:rPr>
              <w:t>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lang w:val="en-US" w:eastAsia="zh-CN"/>
              </w:rPr>
              <w:t>2</w:t>
            </w:r>
            <w:r>
              <w:rPr>
                <w:rFonts w:hint="eastAsia" w:ascii="宋体" w:hAnsi="宋体" w:cs="宋体"/>
                <w:sz w:val="24"/>
                <w:szCs w:val="24"/>
              </w:rPr>
              <w:t>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997946"/>
      <w:bookmarkStart w:id="4" w:name="_Toc201719118"/>
      <w:bookmarkStart w:id="5" w:name="_Toc201742861"/>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梯度PCR仪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9.6万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w:t>
            </w:r>
            <w:r>
              <w:rPr>
                <w:rFonts w:hint="eastAsia" w:ascii="宋体" w:hAnsi="宋体" w:cs="宋体"/>
                <w:b/>
                <w:bCs/>
                <w:color w:val="auto"/>
                <w:kern w:val="0"/>
                <w:lang w:val="en-US" w:eastAsia="zh-CN"/>
              </w:rPr>
              <w:t>50</w:t>
            </w:r>
            <w:r>
              <w:rPr>
                <w:rFonts w:hint="eastAsia" w:ascii="宋体" w:hAnsi="宋体" w:cs="宋体"/>
                <w:b/>
                <w:bCs/>
                <w:color w:val="auto"/>
                <w:kern w:val="0"/>
              </w:rPr>
              <w:t>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eastAsia="宋体" w:cs="宋体"/>
                <w:b w:val="0"/>
                <w:bCs w:val="0"/>
                <w:color w:val="auto"/>
                <w:sz w:val="21"/>
                <w:szCs w:val="21"/>
                <w:lang w:val="en-US" w:eastAsia="zh-CN"/>
              </w:rPr>
            </w:pPr>
            <w:r>
              <w:rPr>
                <w:rFonts w:ascii="宋体" w:hAnsi="宋体"/>
              </w:rPr>
              <w:t>0</w:t>
            </w:r>
            <w:r>
              <w:rPr>
                <w:rFonts w:hint="eastAsia" w:ascii="宋体" w:hAnsi="宋体"/>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kern w:val="0"/>
                <w:sz w:val="21"/>
                <w:szCs w:val="21"/>
                <w:lang w:val="en-US" w:eastAsia="zh-CN" w:bidi="ar-SA"/>
              </w:rPr>
            </w:pPr>
            <w:r>
              <w:t>加热</w:t>
            </w:r>
            <w:r>
              <w:rPr>
                <w:rFonts w:hint="eastAsia"/>
              </w:rPr>
              <w:t>模块</w:t>
            </w:r>
            <w:r>
              <w:t>：Peltier</w:t>
            </w:r>
            <w:r>
              <w:rPr>
                <w:rFonts w:hint="eastAsia"/>
              </w:rPr>
              <w:t>，</w:t>
            </w:r>
            <w:r>
              <w:t>96孔0.2ml专用合金模块</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rPr>
              <w:t>2</w:t>
            </w:r>
            <w:r>
              <w:rPr>
                <w:rFonts w:hint="eastAsia" w:ascii="宋体" w:hAnsi="宋体" w:cs="宋体"/>
                <w:kern w:val="0"/>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eastAsia="宋体" w:cs="宋体"/>
                <w:b w:val="0"/>
                <w:bCs w:val="0"/>
                <w:color w:val="auto"/>
                <w:sz w:val="21"/>
                <w:szCs w:val="21"/>
                <w:lang w:val="en-US" w:eastAsia="zh-CN"/>
              </w:rPr>
            </w:pPr>
            <w:r>
              <w:rPr>
                <w:rFonts w:ascii="宋体" w:hAnsi="宋体" w:cs="宋体"/>
                <w:kern w:val="0"/>
              </w:rPr>
              <w:t>0</w:t>
            </w:r>
            <w:r>
              <w:rPr>
                <w:rFonts w:hint="eastAsia" w:ascii="宋体" w:hAnsi="宋体" w:cs="宋体"/>
                <w:kern w:val="0"/>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t>样品通量及体积：1-96个/10-100 uL</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rPr>
              <w:t>2</w:t>
            </w:r>
            <w:r>
              <w:rPr>
                <w:rFonts w:hint="eastAsia" w:ascii="宋体" w:hAnsi="宋体" w:cs="宋体"/>
                <w:kern w:val="0"/>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eastAsia="宋体" w:cs="宋体"/>
                <w:b w:val="0"/>
                <w:bCs w:val="0"/>
                <w:color w:val="auto"/>
                <w:kern w:val="0"/>
                <w:sz w:val="21"/>
                <w:szCs w:val="21"/>
                <w:highlight w:val="none"/>
                <w:lang w:val="en-US" w:eastAsia="zh-CN"/>
              </w:rPr>
            </w:pPr>
            <w:r>
              <w:rPr>
                <w:rFonts w:ascii="宋体" w:hAnsi="宋体"/>
              </w:rPr>
              <w:t>0</w:t>
            </w:r>
            <w:r>
              <w:rPr>
                <w:rFonts w:hint="eastAsia" w:ascii="宋体" w:hAnsi="宋体"/>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highlight w:val="none"/>
                <w:lang w:val="en-US" w:eastAsia="zh-CN"/>
              </w:rPr>
            </w:pPr>
            <w:r>
              <w:t>模块最高升降温速率：</w:t>
            </w:r>
            <w:r>
              <w:rPr>
                <w:rFonts w:hint="eastAsia"/>
              </w:rPr>
              <w:t>≥</w:t>
            </w:r>
            <w:r>
              <w:t>3.9 °C/秒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rPr>
              <w:t>2</w:t>
            </w:r>
            <w:r>
              <w:rPr>
                <w:rFonts w:hint="eastAsia" w:ascii="宋体" w:hAnsi="宋体" w:cs="宋体"/>
                <w:kern w:val="0"/>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eastAsia="宋体" w:cs="宋体"/>
                <w:b w:val="0"/>
                <w:bCs w:val="0"/>
                <w:color w:val="auto"/>
                <w:sz w:val="21"/>
                <w:szCs w:val="21"/>
                <w:lang w:val="en-US" w:eastAsia="zh-CN"/>
              </w:rPr>
            </w:pPr>
            <w:r>
              <w:rPr>
                <w:rFonts w:hint="eastAsia" w:ascii="宋体" w:hAnsi="宋体"/>
              </w:rPr>
              <w:t>▲04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t>样品最大变温速率：</w:t>
            </w:r>
            <w:r>
              <w:rPr>
                <w:rFonts w:hint="eastAsia"/>
              </w:rPr>
              <w:t>≥</w:t>
            </w:r>
            <w:r>
              <w:t>3.35 °C/秒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eastAsia="宋体" w:cs="宋体"/>
                <w:b w:val="0"/>
                <w:bCs w:val="0"/>
                <w:color w:val="auto"/>
                <w:sz w:val="21"/>
                <w:szCs w:val="21"/>
                <w:lang w:val="en-US" w:eastAsia="zh-CN"/>
              </w:rPr>
            </w:pPr>
            <w:r>
              <w:rPr>
                <w:rFonts w:ascii="宋体" w:hAnsi="宋体"/>
              </w:rPr>
              <w:t>0</w:t>
            </w:r>
            <w:r>
              <w:rPr>
                <w:rFonts w:hint="eastAsia" w:ascii="宋体" w:hAnsi="宋体"/>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t>温控范围：0</w:t>
            </w:r>
            <w:r>
              <w:rPr>
                <w:rFonts w:eastAsia="黑体"/>
              </w:rPr>
              <w:t>℃</w:t>
            </w:r>
            <w:r>
              <w:t>到100</w:t>
            </w:r>
            <w:r>
              <w:rPr>
                <w:rFonts w:eastAsia="黑体"/>
              </w:rPr>
              <w:t>℃</w:t>
            </w:r>
            <w:r>
              <w:rPr>
                <w:rFonts w:hint="eastAsia" w:eastAsia="黑体"/>
              </w:rPr>
              <w:t>，</w:t>
            </w:r>
            <w:r>
              <w:t>温度均一性：＜0.5℃（达到95℃后20秒）</w:t>
            </w:r>
            <w:r>
              <w:rPr>
                <w:rFonts w:hint="eastAsia"/>
              </w:rPr>
              <w:t>，</w:t>
            </w:r>
            <w:r>
              <w:t>温度精确性：</w:t>
            </w:r>
            <w:r>
              <w:rPr>
                <w:kern w:val="0"/>
              </w:rPr>
              <w:t>±0</w:t>
            </w:r>
            <w:r>
              <w:t xml:space="preserve">.25 </w:t>
            </w:r>
            <w:r>
              <w:rPr>
                <w:rFonts w:eastAsia="黑体"/>
              </w:rPr>
              <w:t>℃</w:t>
            </w:r>
            <w:r>
              <w:t xml:space="preserve">（35-99.9 </w:t>
            </w:r>
            <w:r>
              <w:rPr>
                <w:rFonts w:eastAsia="黑体"/>
              </w:rPr>
              <w:t>℃</w:t>
            </w:r>
            <w: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eastAsia="宋体" w:cs="宋体"/>
                <w:b w:val="0"/>
                <w:bCs w:val="0"/>
                <w:color w:val="auto"/>
                <w:kern w:val="0"/>
                <w:sz w:val="21"/>
                <w:szCs w:val="21"/>
                <w:highlight w:val="none"/>
                <w:lang w:val="en-US" w:eastAsia="zh-CN"/>
              </w:rPr>
            </w:pPr>
            <w:r>
              <w:rPr>
                <w:rFonts w:ascii="宋体" w:hAnsi="宋体"/>
              </w:rPr>
              <w:t>0</w:t>
            </w:r>
            <w:r>
              <w:rPr>
                <w:rFonts w:hint="eastAsia" w:ascii="宋体" w:hAnsi="宋体"/>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b w:val="0"/>
                <w:bCs w:val="0"/>
                <w:color w:val="auto"/>
                <w:sz w:val="21"/>
                <w:szCs w:val="21"/>
                <w:highlight w:val="none"/>
                <w:lang w:eastAsia="zh-CN"/>
              </w:rPr>
            </w:pPr>
            <w:r>
              <w:t>支持运行快速反应试剂</w:t>
            </w:r>
            <w:r>
              <w:rPr>
                <w:rFonts w:hint="eastAsia"/>
              </w:rPr>
              <w:t>，</w:t>
            </w:r>
            <w:r>
              <w:t>内置AutoDelta选项，适合Touchdown或Long PCR</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eastAsia="宋体" w:cs="宋体"/>
                <w:b w:val="0"/>
                <w:bCs w:val="0"/>
                <w:color w:val="auto"/>
                <w:sz w:val="21"/>
                <w:szCs w:val="21"/>
                <w:lang w:val="en-US" w:eastAsia="zh-CN"/>
              </w:rPr>
            </w:pPr>
            <w:r>
              <w:rPr>
                <w:rFonts w:hint="eastAsia" w:ascii="宋体" w:hAnsi="宋体"/>
              </w:rPr>
              <w:t>▲0</w:t>
            </w:r>
            <w:r>
              <w:rPr>
                <w:rFonts w:ascii="宋体" w:hAnsi="宋体"/>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t>梯度功能：</w:t>
            </w:r>
            <w:r>
              <w:rPr>
                <w:rFonts w:hint="eastAsia"/>
              </w:rPr>
              <w:t>≥</w:t>
            </w:r>
            <w:r>
              <w:t>6组独立控温区域，可精确设置</w:t>
            </w:r>
            <w:r>
              <w:rPr>
                <w:rFonts w:hint="eastAsia"/>
              </w:rPr>
              <w:t>≥</w:t>
            </w:r>
            <w:r>
              <w:t>6个不同温度，允许同时运行</w:t>
            </w:r>
            <w:r>
              <w:rPr>
                <w:rFonts w:hint="eastAsia"/>
              </w:rPr>
              <w:t>≥</w:t>
            </w:r>
            <w:r>
              <w:t>6种不同退火温度的PCR程序。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lang w:val="en-US" w:eastAsia="zh-CN"/>
              </w:rPr>
              <w:t>4.</w:t>
            </w:r>
            <w:r>
              <w:rPr>
                <w:rFonts w:ascii="宋体" w:hAnsi="宋体" w:cs="宋体"/>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eastAsia="宋体" w:cs="宋体"/>
                <w:b w:val="0"/>
                <w:bCs w:val="0"/>
                <w:color w:val="auto"/>
                <w:sz w:val="21"/>
                <w:szCs w:val="21"/>
                <w:lang w:val="en-US" w:eastAsia="zh-CN"/>
              </w:rPr>
            </w:pPr>
            <w:r>
              <w:rPr>
                <w:rFonts w:hint="eastAsia" w:ascii="宋体" w:hAnsi="宋体"/>
              </w:rPr>
              <w:t>▲0</w:t>
            </w:r>
            <w:r>
              <w:rPr>
                <w:rFonts w:ascii="宋体" w:hAnsi="宋体"/>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t>梯度</w:t>
            </w:r>
            <w:r>
              <w:rPr>
                <w:rFonts w:hint="eastAsia"/>
              </w:rPr>
              <w:t>温差</w:t>
            </w:r>
            <w:r>
              <w:t>：每2列区域间最小温差为</w:t>
            </w:r>
            <w:r>
              <w:rPr>
                <w:rFonts w:hint="eastAsia"/>
              </w:rPr>
              <w:t>≤</w:t>
            </w:r>
            <w:r>
              <w:t>0.1℃，整块板温差</w:t>
            </w:r>
            <w:r>
              <w:rPr>
                <w:rFonts w:hint="eastAsia"/>
              </w:rPr>
              <w:t>≤</w:t>
            </w:r>
            <w:r>
              <w:t>0.5℃；每2列区域间最大温差</w:t>
            </w:r>
            <w:r>
              <w:rPr>
                <w:rFonts w:hint="eastAsia"/>
              </w:rPr>
              <w:t>≤</w:t>
            </w:r>
            <w:r>
              <w:t>5℃，整板温差为</w:t>
            </w:r>
            <w:r>
              <w:rPr>
                <w:rFonts w:hint="eastAsia"/>
              </w:rPr>
              <w:t>≤</w:t>
            </w:r>
            <w:r>
              <w:t>25℃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lang w:val="en-US" w:eastAsia="zh-CN"/>
              </w:rPr>
              <w:t>4.</w:t>
            </w:r>
            <w:r>
              <w:rPr>
                <w:rFonts w:ascii="宋体" w:hAnsi="宋体" w:cs="宋体"/>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eastAsia="宋体" w:cs="宋体"/>
                <w:b w:val="0"/>
                <w:bCs w:val="0"/>
                <w:color w:val="auto"/>
                <w:kern w:val="0"/>
                <w:sz w:val="21"/>
                <w:szCs w:val="21"/>
                <w:highlight w:val="none"/>
                <w:lang w:val="en-US" w:eastAsia="zh-CN"/>
              </w:rPr>
            </w:pPr>
            <w:r>
              <w:rPr>
                <w:rFonts w:ascii="宋体" w:hAnsi="宋体"/>
              </w:rPr>
              <w:t>09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t>热盖接触压力：自动调节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cs="宋体"/>
                <w:kern w:val="0"/>
                <w:sz w:val="24"/>
                <w:szCs w:val="24"/>
              </w:rPr>
            </w:pPr>
            <w:r>
              <w:rPr>
                <w:rFonts w:ascii="宋体" w:hAnsi="宋体"/>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eastAsia="宋体"/>
                <w:sz w:val="28"/>
                <w:szCs w:val="28"/>
                <w:lang w:eastAsia="zh-CN"/>
              </w:rPr>
            </w:pPr>
            <w:r>
              <w:t>显示屏：</w:t>
            </w:r>
            <w:r>
              <w:rPr>
                <w:rFonts w:hint="eastAsia"/>
              </w:rPr>
              <w:t>≥</w:t>
            </w:r>
            <w:r>
              <w:t>6.5英寸VGA 32k彩色触摸屏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rPr>
              <w:t>2</w:t>
            </w: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cs="宋体"/>
                <w:kern w:val="0"/>
                <w:sz w:val="24"/>
                <w:szCs w:val="24"/>
              </w:rPr>
            </w:pPr>
            <w:r>
              <w:rPr>
                <w:rFonts w:hint="eastAsia" w:ascii="宋体" w:hAnsi="宋体"/>
              </w:rPr>
              <w:t>▲1</w:t>
            </w:r>
            <w:r>
              <w:rPr>
                <w:rFonts w:ascii="宋体" w:hAnsi="宋体"/>
              </w:rPr>
              <w:t>1</w:t>
            </w:r>
          </w:p>
        </w:tc>
        <w:tc>
          <w:tcPr>
            <w:tcW w:w="5415" w:type="dxa"/>
            <w:tcBorders>
              <w:top w:val="single" w:color="auto" w:sz="6" w:space="0"/>
              <w:left w:val="single" w:color="auto" w:sz="6" w:space="0"/>
              <w:bottom w:val="nil"/>
              <w:right w:val="nil"/>
            </w:tcBorders>
            <w:noWrap w:val="0"/>
            <w:vAlign w:val="center"/>
          </w:tcPr>
          <w:p>
            <w:pPr>
              <w:rPr>
                <w:rFonts w:hint="eastAsia"/>
                <w:sz w:val="28"/>
                <w:szCs w:val="28"/>
              </w:rPr>
            </w:pPr>
            <w:r>
              <w:t>远程操控：可以进行PC远程查看、控制和管理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cs="宋体"/>
                <w:kern w:val="0"/>
                <w:sz w:val="24"/>
                <w:szCs w:val="24"/>
              </w:rPr>
            </w:pPr>
            <w:r>
              <w:rPr>
                <w:rFonts w:hint="eastAsia" w:ascii="宋体" w:hAnsi="宋体"/>
              </w:rPr>
              <w:t>▲1</w:t>
            </w:r>
            <w:r>
              <w:rPr>
                <w:rFonts w:ascii="宋体" w:hAnsi="宋体"/>
              </w:rPr>
              <w:t>2</w:t>
            </w:r>
          </w:p>
        </w:tc>
        <w:tc>
          <w:tcPr>
            <w:tcW w:w="5415" w:type="dxa"/>
            <w:tcBorders>
              <w:top w:val="single" w:color="auto" w:sz="6" w:space="0"/>
              <w:left w:val="single" w:color="auto" w:sz="6" w:space="0"/>
              <w:bottom w:val="nil"/>
              <w:right w:val="nil"/>
            </w:tcBorders>
            <w:noWrap w:val="0"/>
            <w:vAlign w:val="center"/>
          </w:tcPr>
          <w:p>
            <w:pPr>
              <w:rPr>
                <w:rFonts w:hint="eastAsia"/>
                <w:sz w:val="28"/>
                <w:szCs w:val="28"/>
              </w:rPr>
            </w:pPr>
            <w:r>
              <w:t>联机操控：无需购买软件，允许12台机器在同一局域网内相互连接，并设置由其中一台来操控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eastAsia" w:ascii="宋体" w:hAnsi="宋体" w:cs="宋体"/>
                <w:kern w:val="0"/>
                <w:sz w:val="24"/>
                <w:szCs w:val="24"/>
              </w:rPr>
            </w:pPr>
            <w:r>
              <w:rPr>
                <w:rFonts w:hint="eastAsia" w:ascii="宋体" w:hAnsi="宋体"/>
              </w:rPr>
              <w:t>1</w:t>
            </w:r>
            <w:r>
              <w:rPr>
                <w:rFonts w:ascii="宋体" w:hAnsi="宋体"/>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8"/>
                <w:szCs w:val="28"/>
              </w:rPr>
            </w:pPr>
            <w:r>
              <w:t>存储能力：主机可存储</w:t>
            </w:r>
            <w:r>
              <w:rPr>
                <w:rFonts w:hint="eastAsia"/>
              </w:rPr>
              <w:t>≥</w:t>
            </w:r>
            <w:r>
              <w:t>800个protocol，U盘存储无限制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rPr>
              <w:t>2</w:t>
            </w: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default" w:ascii="宋体" w:hAnsi="宋体" w:eastAsia="宋体" w:cs="宋体"/>
                <w:color w:val="000000"/>
                <w:kern w:val="0"/>
                <w:sz w:val="24"/>
                <w:szCs w:val="24"/>
                <w:lang w:val="en-US" w:eastAsia="zh-CN"/>
              </w:rPr>
            </w:pPr>
            <w:r>
              <w:rPr>
                <w:rFonts w:hint="eastAsia" w:ascii="宋体" w:hAnsi="宋体"/>
              </w:rPr>
              <w:t>1</w:t>
            </w:r>
            <w:r>
              <w:rPr>
                <w:rFonts w:ascii="宋体" w:hAnsi="宋体"/>
              </w:rPr>
              <w:t>4</w:t>
            </w:r>
          </w:p>
        </w:tc>
        <w:tc>
          <w:tcPr>
            <w:tcW w:w="5415" w:type="dxa"/>
            <w:tcBorders>
              <w:top w:val="single" w:color="auto" w:sz="6" w:space="0"/>
              <w:left w:val="single" w:color="auto" w:sz="6" w:space="0"/>
              <w:bottom w:val="nil"/>
              <w:right w:val="nil"/>
            </w:tcBorders>
            <w:noWrap w:val="0"/>
            <w:vAlign w:val="center"/>
          </w:tcPr>
          <w:p>
            <w:pPr>
              <w:rPr>
                <w:rFonts w:hint="eastAsia"/>
                <w:sz w:val="28"/>
                <w:szCs w:val="28"/>
              </w:rPr>
            </w:pPr>
            <w:r>
              <w:t>其他功能：</w:t>
            </w:r>
            <w:r>
              <w:rPr>
                <w:rFonts w:hint="eastAsia"/>
              </w:rPr>
              <w:t>包括但不限于</w:t>
            </w:r>
            <w:r>
              <w:t>内置程序模板、</w:t>
            </w:r>
            <w:r>
              <w:rPr>
                <w:rFonts w:hint="eastAsia"/>
              </w:rPr>
              <w:t>基于触摸屏菜单驱动的T</w:t>
            </w:r>
            <w:r>
              <w:t>m</w:t>
            </w:r>
            <w:r>
              <w:rPr>
                <w:rFonts w:hint="eastAsia"/>
              </w:rPr>
              <w:t>计算器，</w:t>
            </w:r>
            <w:r>
              <w:t>多重权限账户管理、暂停/继续程序、断电保护、自动休眠、仪器自检功能、查看运行日志并导出或打印等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rPr>
              <w:t>2</w:t>
            </w: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default" w:ascii="宋体" w:hAnsi="宋体" w:cs="宋体"/>
                <w:color w:val="000000"/>
                <w:kern w:val="0"/>
                <w:sz w:val="24"/>
                <w:szCs w:val="24"/>
                <w:lang w:val="en-US" w:eastAsia="zh-CN"/>
              </w:rPr>
            </w:pPr>
            <w:r>
              <w:rPr>
                <w:rFonts w:hint="eastAsia" w:ascii="宋体" w:hAnsi="宋体"/>
              </w:rPr>
              <w:t>1</w:t>
            </w:r>
            <w:r>
              <w:rPr>
                <w:rFonts w:ascii="宋体" w:hAnsi="宋体"/>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pPr>
            <w:r>
              <w:rPr>
                <w:rFonts w:hint="eastAsia"/>
              </w:rPr>
              <w:t>外部</w:t>
            </w:r>
            <w:r>
              <w:t>接口：</w:t>
            </w:r>
            <w:r>
              <w:rPr>
                <w:rFonts w:hint="eastAsia"/>
              </w:rPr>
              <w:t>包括但不限于</w:t>
            </w:r>
            <w:r>
              <w:t>USB</w:t>
            </w:r>
            <w:r>
              <w:rPr>
                <w:rFonts w:hint="eastAsia"/>
              </w:rPr>
              <w:t>、</w:t>
            </w:r>
            <w:r>
              <w:t>RS 232</w:t>
            </w:r>
            <w:r>
              <w:rPr>
                <w:rFonts w:hint="eastAsia"/>
              </w:rPr>
              <w:t>、</w:t>
            </w:r>
            <w:r>
              <w:t>网络接口</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rPr>
              <w:t>2</w:t>
            </w: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right="420" w:rightChars="200"/>
              <w:jc w:val="right"/>
              <w:rPr>
                <w:rFonts w:hint="default" w:ascii="宋体" w:hAnsi="宋体" w:cs="宋体"/>
                <w:color w:val="000000"/>
                <w:kern w:val="0"/>
                <w:sz w:val="24"/>
                <w:szCs w:val="24"/>
                <w:lang w:val="en-US" w:eastAsia="zh-CN"/>
              </w:rPr>
            </w:pPr>
            <w:r>
              <w:rPr>
                <w:rFonts w:ascii="宋体" w:hAnsi="宋体"/>
              </w:rPr>
              <w:t>16</w:t>
            </w:r>
          </w:p>
        </w:tc>
        <w:tc>
          <w:tcPr>
            <w:tcW w:w="5415" w:type="dxa"/>
            <w:tcBorders>
              <w:top w:val="single" w:color="auto" w:sz="6" w:space="0"/>
              <w:left w:val="single" w:color="auto" w:sz="6" w:space="0"/>
              <w:bottom w:val="nil"/>
              <w:right w:val="nil"/>
            </w:tcBorders>
            <w:noWrap w:val="0"/>
            <w:vAlign w:val="center"/>
          </w:tcPr>
          <w:p>
            <w:pPr>
              <w:widowControl/>
              <w:jc w:val="left"/>
              <w:rPr>
                <w:kern w:val="0"/>
              </w:rPr>
            </w:pPr>
            <w:r>
              <w:rPr>
                <w:kern w:val="0"/>
              </w:rPr>
              <w:t>仪器尺寸：</w:t>
            </w:r>
            <w:r>
              <w:rPr>
                <w:rFonts w:hint="eastAsia"/>
              </w:rPr>
              <w:t>≤</w:t>
            </w:r>
            <w:r>
              <w:rPr>
                <w:kern w:val="0"/>
              </w:rPr>
              <w:t>23.7cm(W)</w:t>
            </w:r>
            <w:r>
              <w:rPr>
                <w:rFonts w:hint="eastAsia"/>
                <w:kern w:val="0"/>
              </w:rPr>
              <w:t>，</w:t>
            </w:r>
            <w:r>
              <w:rPr>
                <w:rFonts w:hint="eastAsia"/>
              </w:rPr>
              <w:t>≤</w:t>
            </w:r>
            <w:r>
              <w:rPr>
                <w:kern w:val="0"/>
              </w:rPr>
              <w:t>48.5cm(D)</w:t>
            </w:r>
            <w:r>
              <w:rPr>
                <w:rFonts w:hint="eastAsia"/>
                <w:kern w:val="0"/>
              </w:rPr>
              <w:t xml:space="preserve"> ，</w:t>
            </w:r>
            <w:r>
              <w:rPr>
                <w:rFonts w:hint="eastAsia"/>
              </w:rPr>
              <w:t>≤</w:t>
            </w:r>
            <w:r>
              <w:rPr>
                <w:kern w:val="0"/>
              </w:rPr>
              <w:t>2 4.5cm(H)</w:t>
            </w:r>
          </w:p>
          <w:p>
            <w:pP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pPr>
            <w:r>
              <w:t>重量：</w:t>
            </w:r>
            <w:r>
              <w:rPr>
                <w:rFonts w:hint="eastAsia"/>
              </w:rPr>
              <w:t>≤</w:t>
            </w:r>
            <w:r>
              <w:t>11.</w:t>
            </w:r>
            <w:r>
              <w:rPr>
                <w:rFonts w:hint="eastAsia"/>
                <w:lang w:val="en-US" w:eastAsia="zh-CN"/>
              </w:rPr>
              <w:t>5</w:t>
            </w:r>
            <w:r>
              <w:t>kg; 电源：100-240V,50/60 Hz,功率：</w:t>
            </w:r>
            <w:r>
              <w:rPr>
                <w:rFonts w:hint="eastAsia"/>
              </w:rPr>
              <w:t>≤</w:t>
            </w:r>
            <w:r>
              <w:t>800瓦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rPr>
              <w:t>2</w:t>
            </w: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6A67A4"/>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7</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2021-09-13T06:41:58Z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