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1</w:t>
            </w:r>
            <w:bookmarkStart w:id="15" w:name="_GoBack"/>
            <w:bookmarkEnd w:id="15"/>
            <w:r>
              <w:rPr>
                <w:rFonts w:hint="eastAsia"/>
                <w:lang w:val="en-US" w:eastAsia="zh-CN"/>
              </w:rPr>
              <w:t>.5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997946"/>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sz w:val="24"/>
                      <w:szCs w:val="24"/>
                      <w:lang w:val="en-US" w:eastAsia="zh-CN"/>
                    </w:rPr>
                  </w:pPr>
                  <w:r>
                    <w:rPr>
                      <w:rFonts w:hint="eastAsia" w:ascii="宋体" w:hAnsi="宋体" w:cs="宋体"/>
                      <w:color w:val="FF0000"/>
                      <w:kern w:val="0"/>
                      <w:sz w:val="24"/>
                      <w:szCs w:val="24"/>
                      <w:lang w:eastAsia="zh-CN"/>
                    </w:rPr>
                    <w:t>热牙胶充填机</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6.6万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cs="宋体"/>
                      <w:kern w:val="0"/>
                      <w:sz w:val="24"/>
                      <w:szCs w:val="24"/>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sz w:val="24"/>
                <w:szCs w:val="24"/>
              </w:rPr>
              <w:t>（一）</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sz w:val="24"/>
                <w:szCs w:val="24"/>
              </w:rPr>
              <w:t>加热手柄要求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auto"/>
                <w:sz w:val="24"/>
                <w:szCs w:val="24"/>
                <w:lang w:val="en-US" w:eastAsia="zh-CN"/>
              </w:rPr>
            </w:pPr>
            <w:r>
              <w:rPr>
                <w:rFonts w:ascii="宋体" w:hAnsi="宋体" w:cs="宋体"/>
                <w:color w:val="000000"/>
                <w:kern w:val="0"/>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sz w:val="24"/>
                <w:szCs w:val="24"/>
              </w:rPr>
              <w:t>手柄设计符合人体工程学；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000000"/>
                <w:kern w:val="0"/>
                <w:sz w:val="24"/>
                <w:szCs w:val="24"/>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sz w:val="24"/>
                <w:szCs w:val="24"/>
              </w:rPr>
              <w:t>要求360度可按压硅胶环形按键控制加热；</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000000"/>
                <w:kern w:val="0"/>
                <w:sz w:val="24"/>
                <w:szCs w:val="24"/>
              </w:rPr>
            </w:pPr>
            <w:r>
              <w:rPr>
                <w:rFonts w:hint="eastAsia"/>
                <w:color w:val="FF0000"/>
              </w:rPr>
              <w:t>▲</w:t>
            </w:r>
            <w:r>
              <w:rPr>
                <w:rFonts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sz w:val="24"/>
                <w:szCs w:val="24"/>
              </w:rPr>
              <w:t>要求1秒达到设定温度；持续加热4秒，自动停止加热；</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000000"/>
                <w:kern w:val="0"/>
                <w:highlight w:val="none"/>
                <w:lang w:val="en-US" w:eastAsia="zh-CN"/>
              </w:rPr>
            </w:pPr>
            <w:r>
              <w:rPr>
                <w:rFonts w:hint="eastAsia"/>
                <w:color w:val="FF0000"/>
              </w:rPr>
              <w:t>▲</w:t>
            </w:r>
            <w:r>
              <w:rPr>
                <w:rFonts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sz w:val="24"/>
                <w:szCs w:val="24"/>
              </w:rPr>
              <w:t>要求4档精准控温，设有 150℃、180℃、200℃、230℃ 四档温度设置；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highlight w:val="none"/>
                <w:lang w:val="en-US" w:eastAsia="zh-CN"/>
              </w:rPr>
            </w:pPr>
            <w:r>
              <w:rPr>
                <w:rFonts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highlight w:val="none"/>
                <w:lang w:eastAsia="zh-CN"/>
              </w:rPr>
            </w:pPr>
            <w:r>
              <w:rPr>
                <w:rFonts w:hint="eastAsia"/>
                <w:sz w:val="24"/>
                <w:szCs w:val="24"/>
              </w:rPr>
              <w:t>要求持续加热4s停止后10s蜂鸣提示；未插入加热针及遇到错误时，屏幕和声音同时提示；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auto"/>
                <w:sz w:val="24"/>
                <w:szCs w:val="24"/>
                <w:lang w:val="en-US" w:eastAsia="zh-CN"/>
              </w:rPr>
            </w:pPr>
            <w:r>
              <w:rPr>
                <w:rFonts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sz w:val="24"/>
                <w:szCs w:val="24"/>
              </w:rPr>
              <w:t>要求高清OLED显示屏，吸附于充电座上，与底座磁吸，手柄在充电座上随放随充；</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sz w:val="24"/>
                <w:szCs w:val="24"/>
              </w:rPr>
              <w:t>要求5 分钟内无任何操作后自动关机；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sz w:val="24"/>
                <w:szCs w:val="24"/>
              </w:rPr>
              <w:t>要求2100mAh大容量可充电锂电池，电池单次充满电后在加热手柄上面连续使用时间不少于3小时。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ascii="宋体" w:hAnsi="宋体" w:cs="宋体"/>
                <w:color w:val="000000"/>
                <w:kern w:val="0"/>
                <w:sz w:val="24"/>
                <w:szCs w:val="24"/>
              </w:rPr>
              <w:t>1</w:t>
            </w: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sz w:val="24"/>
                <w:szCs w:val="24"/>
              </w:rPr>
              <w:t>（二）</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sz w:val="24"/>
                <w:szCs w:val="24"/>
              </w:rPr>
              <w:t>充填手柄要求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sz w:val="24"/>
                <w:szCs w:val="24"/>
              </w:rPr>
              <w:t>手柄设计符合人体工程学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sz w:val="24"/>
                <w:szCs w:val="24"/>
              </w:rPr>
              <w:t>要求设有 150℃、180℃、200℃、230℃ 四档温度设置；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rPr>
              <w:t>▲</w:t>
            </w:r>
            <w:r>
              <w:rPr>
                <w:rFonts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要求12s~35s快速上升到指定温度；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rPr>
              <w:t>▲</w:t>
            </w:r>
            <w:r>
              <w:rPr>
                <w:rFonts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要求360°可旋转注胶银针；</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rPr>
              <w:t>▲</w:t>
            </w:r>
            <w:r>
              <w:rPr>
                <w:rFonts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要求牙胶仓设保护盖；</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要求注胶枪头部设计隔热保护套；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要求预弯器带刻度，磁吸附于充电底座上；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要求枪尖温度达到设定的温度,加热电源自动关闭到低的水平，保持预设温度；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要求高清OLED显示屏，显示各种信息和设定参数；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ascii="宋体" w:hAnsi="宋体" w:cs="宋体"/>
                <w:color w:val="000000"/>
                <w:kern w:val="0"/>
                <w:sz w:val="24"/>
                <w:szCs w:val="24"/>
              </w:rPr>
              <w:t>1</w:t>
            </w: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要求工作状态时5分钟内无任何操作，手柄进入静置模式，节省电量，温度维持在70-130℃，晃动后自动唤醒恢复设置温度；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2"/>
                <w:szCs w:val="28"/>
              </w:rPr>
            </w:pPr>
            <w:r>
              <w:rPr>
                <w:rFonts w:hint="eastAsia"/>
                <w:sz w:val="24"/>
                <w:szCs w:val="24"/>
              </w:rPr>
              <w:t>要求10分钟内无任何操作后自动关机；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Times New Roman" w:hAnsi="Times New Roman" w:eastAsia="宋体" w:cs="Times New Roman"/>
                <w:kern w:val="2"/>
                <w:sz w:val="24"/>
                <w:szCs w:val="24"/>
                <w:lang w:val="en-US" w:eastAsia="zh-CN" w:bidi="ar-SA"/>
              </w:rPr>
            </w:pPr>
            <w:r>
              <w:rPr>
                <w:rFonts w:hint="eastAsia"/>
                <w:sz w:val="24"/>
                <w:szCs w:val="24"/>
              </w:rPr>
              <w:t>要求2100mAh大容量可充电锂电池，电池单次充满电后在充填手柄上面连续使用时间不少于2小时；电池可拆卸。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3"/>
              <w:tblW w:w="6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68"/>
              <w:gridCol w:w="144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968"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名称</w:t>
                  </w:r>
                </w:p>
              </w:tc>
              <w:tc>
                <w:tcPr>
                  <w:tcW w:w="1444"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单位</w:t>
                  </w:r>
                </w:p>
              </w:tc>
              <w:tc>
                <w:tcPr>
                  <w:tcW w:w="2360"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1</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携热尖</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支</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2</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垂直加压器</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支</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noWrap w:val="0"/>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3</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牙胶尖</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盒</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noWrap w:val="0"/>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4</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牙胶充填棒</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盒</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noWrap w:val="0"/>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5</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银针套装</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盒</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1000</w:t>
                  </w:r>
                </w:p>
              </w:tc>
            </w:tr>
          </w:tbl>
          <w:p>
            <w:pPr>
              <w:pStyle w:val="2"/>
              <w:jc w:val="left"/>
              <w:rPr>
                <w:rFonts w:hint="default" w:cs="宋体"/>
                <w:color w:val="FF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A66B27"/>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9F66D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2021-07-20T00:29:36Z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2A5DC0B52E264BDCA9D5C391384BACA0</vt:lpwstr>
  </property>
</Properties>
</file>