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397" w:firstLineChars="199"/>
        <w:rPr>
          <w:b/>
          <w:sz w:val="120"/>
          <w:szCs w:val="120"/>
        </w:rPr>
      </w:pPr>
      <w:r>
        <w:rPr>
          <w:rFonts w:hint="eastAsia"/>
          <w:b/>
          <w:sz w:val="120"/>
          <w:szCs w:val="120"/>
        </w:rPr>
        <w:t>采购文件</w:t>
      </w:r>
    </w:p>
    <w:p>
      <w:pPr>
        <w:rPr>
          <w:szCs w:val="22"/>
        </w:rPr>
      </w:pPr>
    </w:p>
    <w:p>
      <w:pPr>
        <w:jc w:val="center"/>
        <w:rPr>
          <w:b/>
          <w:sz w:val="52"/>
          <w:szCs w:val="52"/>
        </w:rPr>
      </w:pPr>
      <w:r>
        <w:rPr>
          <w:rFonts w:hint="eastAsia"/>
          <w:b/>
          <w:sz w:val="52"/>
          <w:szCs w:val="52"/>
        </w:rPr>
        <w:t xml:space="preserve">   （设备类）</w:t>
      </w:r>
    </w:p>
    <w:p>
      <w:pPr>
        <w:rPr>
          <w:szCs w:val="22"/>
        </w:rPr>
      </w:pPr>
    </w:p>
    <w:p/>
    <w:p/>
    <w:p/>
    <w:p/>
    <w:p/>
    <w:p/>
    <w:p/>
    <w:p/>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sz w:val="80"/>
          <w:szCs w:val="80"/>
        </w:rPr>
      </w:pPr>
      <w:r>
        <w:rPr>
          <w:rFonts w:hint="eastAsia"/>
          <w:b/>
          <w:sz w:val="44"/>
          <w:szCs w:val="44"/>
        </w:rPr>
        <w:t>深圳市儿童医院</w:t>
      </w: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ind w:left="420"/>
        <w:rPr>
          <w:rFonts w:hint="eastAsia" w:asciiTheme="minorEastAsia" w:hAnsiTheme="minorEastAsia" w:eastAsiaTheme="minorEastAsia"/>
          <w:b/>
          <w:sz w:val="24"/>
          <w:szCs w:val="24"/>
        </w:rPr>
      </w:pPr>
      <w:r>
        <w:rPr>
          <w:rFonts w:hint="eastAsia" w:asciiTheme="minorEastAsia" w:hAnsiTheme="minorEastAsia" w:eastAsiaTheme="minorEastAsia"/>
          <w:b/>
          <w:sz w:val="24"/>
          <w:szCs w:val="24"/>
        </w:rPr>
        <w:t>评标信息</w:t>
      </w:r>
    </w:p>
    <w:p>
      <w:pPr>
        <w:ind w:left="420"/>
        <w:rPr>
          <w:rFonts w:hint="eastAsia" w:ascii="宋体" w:hAnsi="宋体"/>
          <w:sz w:val="24"/>
          <w:szCs w:val="24"/>
        </w:rPr>
      </w:pPr>
      <w:r>
        <w:rPr>
          <w:rFonts w:hint="eastAsia" w:asciiTheme="minorEastAsia" w:hAnsiTheme="minorEastAsia" w:eastAsiaTheme="minorEastAsia"/>
          <w:sz w:val="24"/>
          <w:szCs w:val="24"/>
        </w:rPr>
        <w:t>价格分计算</w:t>
      </w:r>
      <w:r>
        <w:rPr>
          <w:rFonts w:hint="eastAsia" w:asciiTheme="minorEastAsia" w:hAnsiTheme="minorEastAsia" w:eastAsiaTheme="minorEastAsia"/>
          <w:sz w:val="24"/>
          <w:szCs w:val="24"/>
          <w:lang w:eastAsia="zh-CN"/>
        </w:rPr>
        <w:t>（每个供应商可进行两次报价，以第二次报价为最终报价）</w:t>
      </w:r>
      <w:r>
        <w:rPr>
          <w:rFonts w:hint="eastAsia" w:asciiTheme="minorEastAsia" w:hAnsiTheme="minorEastAsia" w:eastAsiaTheme="minorEastAsia"/>
          <w:sz w:val="24"/>
          <w:szCs w:val="24"/>
        </w:rPr>
        <w:t>：</w:t>
      </w:r>
      <w:r>
        <w:rPr>
          <w:rFonts w:hint="eastAsia" w:ascii="宋体" w:hAnsi="宋体"/>
          <w:sz w:val="24"/>
          <w:szCs w:val="24"/>
        </w:rPr>
        <w:t>价格分应当采用低价优先法计算，即满足文件要求且投标价格最低的投标报价为评标基准价，其价格分为满分。其他投标人的价格分统一按照下列公式计算：</w:t>
      </w:r>
    </w:p>
    <w:p>
      <w:pPr>
        <w:ind w:left="420"/>
        <w:rPr>
          <w:rFonts w:hint="eastAsia" w:ascii="宋体" w:hAnsi="宋体" w:eastAsia="宋体"/>
          <w:sz w:val="24"/>
          <w:szCs w:val="24"/>
          <w:lang w:eastAsia="zh-CN"/>
        </w:rPr>
      </w:pPr>
      <w:r>
        <w:rPr>
          <w:rFonts w:hint="eastAsia" w:ascii="宋体" w:hAnsi="宋体"/>
          <w:sz w:val="24"/>
          <w:szCs w:val="24"/>
        </w:rPr>
        <w:t>投标报价得分=(评标基准价／投标报价)×权重</w:t>
      </w:r>
      <w:r>
        <w:rPr>
          <w:rFonts w:hint="eastAsia" w:ascii="宋体" w:hAnsi="宋体"/>
          <w:sz w:val="24"/>
          <w:szCs w:val="24"/>
          <w:lang w:eastAsia="zh-CN"/>
        </w:rPr>
        <w:t>分</w:t>
      </w:r>
    </w:p>
    <w:p>
      <w:pPr>
        <w:spacing w:line="360" w:lineRule="auto"/>
        <w:ind w:firstLine="480" w:firstLineChars="200"/>
        <w:rPr>
          <w:rFonts w:asciiTheme="minorEastAsia" w:hAnsiTheme="minorEastAsia" w:eastAsiaTheme="minorEastAsia"/>
          <w:sz w:val="24"/>
          <w:szCs w:val="24"/>
        </w:rPr>
      </w:pPr>
      <w:r>
        <w:rPr>
          <w:rFonts w:hint="eastAsia" w:ascii="宋体" w:hAnsi="宋体"/>
          <w:sz w:val="24"/>
          <w:szCs w:val="24"/>
        </w:rPr>
        <w:t>备注：投标报价得分四舍五入后，小数点后保留两位有效数；</w:t>
      </w:r>
    </w:p>
    <w:p>
      <w:pPr>
        <w:widowControl/>
        <w:spacing w:line="450" w:lineRule="atLeast"/>
        <w:ind w:firstLine="480" w:firstLineChars="200"/>
        <w:jc w:val="left"/>
        <w:textAlignment w:val="baseline"/>
        <w:rPr>
          <w:rFonts w:asciiTheme="minorEastAsia" w:hAnsiTheme="minorEastAsia" w:eastAsiaTheme="minorEastAsia"/>
          <w:sz w:val="24"/>
          <w:szCs w:val="24"/>
        </w:rPr>
      </w:pPr>
      <w:r>
        <w:rPr>
          <w:rFonts w:hint="eastAsia" w:ascii="宋体" w:hAnsi="宋体"/>
          <w:sz w:val="24"/>
          <w:szCs w:val="24"/>
        </w:rPr>
        <w:t>评标基准价</w:t>
      </w:r>
      <w:r>
        <w:rPr>
          <w:rFonts w:hint="eastAsia" w:asciiTheme="minorEastAsia" w:hAnsiTheme="minorEastAsia" w:eastAsiaTheme="minorEastAsia"/>
          <w:sz w:val="24"/>
          <w:szCs w:val="24"/>
        </w:rPr>
        <w:t>是指所有有效报价中最低的投标报价</w:t>
      </w:r>
      <w:r>
        <w:rPr>
          <w:rFonts w:hint="eastAsia" w:asciiTheme="minorEastAsia" w:hAnsiTheme="minorEastAsia" w:eastAsiaTheme="minorEastAsia"/>
          <w:sz w:val="24"/>
          <w:szCs w:val="24"/>
          <w:lang w:val="en-US" w:eastAsia="zh-CN"/>
        </w:rPr>
        <w:t>(</w:t>
      </w:r>
      <w:r>
        <w:rPr>
          <w:rFonts w:hint="eastAsia" w:asciiTheme="minorEastAsia" w:hAnsiTheme="minorEastAsia" w:eastAsiaTheme="minorEastAsia"/>
          <w:b/>
          <w:bCs/>
          <w:color w:val="FF0000"/>
          <w:sz w:val="24"/>
          <w:szCs w:val="24"/>
          <w:lang w:val="en-US" w:eastAsia="zh-CN"/>
        </w:rPr>
        <w:t>注：</w:t>
      </w:r>
      <w:r>
        <w:rPr>
          <w:rFonts w:hint="eastAsia" w:asciiTheme="minorEastAsia" w:hAnsiTheme="minorEastAsia" w:eastAsiaTheme="minorEastAsia"/>
          <w:b/>
          <w:bCs/>
          <w:color w:val="FF0000"/>
          <w:sz w:val="24"/>
          <w:szCs w:val="24"/>
        </w:rPr>
        <w:t>投标人的报价明显低于其他投标人的报价，有可能影响产品质量或者不能诚信履约的，应在评标现场提供书面说明和相关证明材料；不能证明其报价合理性的，将其作为无效投标处理</w:t>
      </w:r>
      <w:r>
        <w:rPr>
          <w:rFonts w:hint="eastAsia" w:asciiTheme="minorEastAsia" w:hAnsiTheme="minorEastAsia" w:eastAsiaTheme="minorEastAsia"/>
          <w:sz w:val="24"/>
          <w:szCs w:val="24"/>
          <w:lang w:eastAsia="zh-CN"/>
        </w:rPr>
        <w:t>）</w:t>
      </w:r>
      <w:r>
        <w:rPr>
          <w:rFonts w:hint="eastAsia" w:asciiTheme="minorEastAsia" w:hAnsiTheme="minorEastAsia" w:eastAsiaTheme="minorEastAsia"/>
          <w:sz w:val="24"/>
          <w:szCs w:val="24"/>
        </w:rPr>
        <w:t>。</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评审委员会在评标时，应按照以下量化的评审因素，对各投标文件进行分析和比较：</w:t>
      </w:r>
    </w:p>
    <w:p>
      <w:pPr>
        <w:spacing w:line="360" w:lineRule="auto"/>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本项目详细评分细则如下表：</w:t>
      </w:r>
    </w:p>
    <w:tbl>
      <w:tblPr>
        <w:tblStyle w:val="13"/>
        <w:tblW w:w="96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
        <w:gridCol w:w="646"/>
        <w:gridCol w:w="15"/>
        <w:gridCol w:w="1245"/>
        <w:gridCol w:w="699"/>
        <w:gridCol w:w="61"/>
        <w:gridCol w:w="709"/>
        <w:gridCol w:w="5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noWrap w:val="0"/>
            <w:vAlign w:val="center"/>
          </w:tcPr>
          <w:p>
            <w:pPr>
              <w:jc w:val="center"/>
              <w:rPr>
                <w:rFonts w:ascii="宋体" w:hAnsi="宋体"/>
                <w:sz w:val="24"/>
                <w:szCs w:val="24"/>
              </w:rPr>
            </w:pPr>
            <w:r>
              <w:rPr>
                <w:rFonts w:hint="eastAsia" w:ascii="宋体" w:hAnsi="宋体"/>
                <w:sz w:val="24"/>
                <w:szCs w:val="24"/>
              </w:rPr>
              <w:t>序号</w:t>
            </w:r>
          </w:p>
        </w:tc>
        <w:tc>
          <w:tcPr>
            <w:tcW w:w="3375" w:type="dxa"/>
            <w:gridSpan w:val="6"/>
            <w:noWrap w:val="0"/>
            <w:vAlign w:val="center"/>
          </w:tcPr>
          <w:p>
            <w:pPr>
              <w:jc w:val="center"/>
              <w:rPr>
                <w:rFonts w:ascii="宋体" w:hAnsi="宋体"/>
                <w:sz w:val="24"/>
                <w:szCs w:val="24"/>
              </w:rPr>
            </w:pPr>
            <w:r>
              <w:rPr>
                <w:rFonts w:hint="eastAsia" w:ascii="宋体" w:hAnsi="宋体"/>
                <w:sz w:val="24"/>
                <w:szCs w:val="24"/>
              </w:rPr>
              <w:t>评分项</w:t>
            </w:r>
          </w:p>
        </w:tc>
        <w:tc>
          <w:tcPr>
            <w:tcW w:w="5500" w:type="dxa"/>
            <w:noWrap w:val="0"/>
            <w:vAlign w:val="center"/>
          </w:tcPr>
          <w:p>
            <w:pPr>
              <w:jc w:val="center"/>
              <w:rPr>
                <w:rFonts w:ascii="宋体" w:hAnsi="宋体"/>
                <w:sz w:val="24"/>
                <w:szCs w:val="24"/>
              </w:rPr>
            </w:pPr>
            <w:r>
              <w:rPr>
                <w:rFonts w:hint="eastAsia" w:ascii="宋体" w:hAnsi="宋体"/>
                <w:sz w:val="24"/>
                <w:szCs w:val="24"/>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noWrap w:val="0"/>
            <w:vAlign w:val="center"/>
          </w:tcPr>
          <w:p>
            <w:pPr>
              <w:jc w:val="center"/>
              <w:rPr>
                <w:rFonts w:ascii="宋体" w:hAnsi="宋体"/>
                <w:sz w:val="24"/>
                <w:szCs w:val="24"/>
              </w:rPr>
            </w:pPr>
            <w:r>
              <w:rPr>
                <w:rFonts w:hint="eastAsia" w:ascii="宋体" w:hAnsi="宋体"/>
                <w:sz w:val="24"/>
                <w:szCs w:val="24"/>
              </w:rPr>
              <w:t>一</w:t>
            </w:r>
          </w:p>
        </w:tc>
        <w:tc>
          <w:tcPr>
            <w:tcW w:w="3375" w:type="dxa"/>
            <w:gridSpan w:val="6"/>
            <w:noWrap w:val="0"/>
            <w:vAlign w:val="center"/>
          </w:tcPr>
          <w:p>
            <w:pPr>
              <w:jc w:val="center"/>
              <w:rPr>
                <w:rFonts w:ascii="宋体" w:hAnsi="宋体"/>
                <w:sz w:val="24"/>
                <w:szCs w:val="24"/>
              </w:rPr>
            </w:pPr>
            <w:r>
              <w:rPr>
                <w:rFonts w:hint="eastAsia" w:ascii="宋体" w:hAnsi="宋体"/>
                <w:sz w:val="24"/>
                <w:szCs w:val="24"/>
              </w:rPr>
              <w:t>价格部分</w:t>
            </w:r>
          </w:p>
        </w:tc>
        <w:tc>
          <w:tcPr>
            <w:tcW w:w="5500" w:type="dxa"/>
            <w:noWrap w:val="0"/>
            <w:vAlign w:val="center"/>
          </w:tcPr>
          <w:p>
            <w:pPr>
              <w:jc w:val="center"/>
              <w:rPr>
                <w:rFonts w:ascii="宋体" w:hAnsi="宋体"/>
                <w:color w:val="auto"/>
                <w:sz w:val="24"/>
                <w:szCs w:val="24"/>
              </w:rPr>
            </w:pPr>
            <w:r>
              <w:rPr>
                <w:rFonts w:hint="eastAsia" w:ascii="宋体" w:hAnsi="宋体"/>
                <w:color w:val="auto"/>
                <w:sz w:val="24"/>
                <w:szCs w:val="24"/>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vMerge w:val="restart"/>
            <w:noWrap w:val="0"/>
            <w:vAlign w:val="center"/>
          </w:tcPr>
          <w:p>
            <w:pPr>
              <w:jc w:val="center"/>
              <w:rPr>
                <w:rFonts w:ascii="宋体" w:hAnsi="宋体"/>
                <w:sz w:val="24"/>
                <w:szCs w:val="24"/>
              </w:rPr>
            </w:pPr>
            <w:r>
              <w:rPr>
                <w:rFonts w:hint="eastAsia" w:ascii="宋体" w:hAnsi="宋体"/>
                <w:sz w:val="24"/>
                <w:szCs w:val="24"/>
              </w:rPr>
              <w:t>二</w:t>
            </w:r>
          </w:p>
        </w:tc>
        <w:tc>
          <w:tcPr>
            <w:tcW w:w="3375" w:type="dxa"/>
            <w:gridSpan w:val="6"/>
            <w:noWrap w:val="0"/>
            <w:vAlign w:val="center"/>
          </w:tcPr>
          <w:p>
            <w:pPr>
              <w:jc w:val="center"/>
              <w:rPr>
                <w:rFonts w:ascii="宋体" w:hAnsi="宋体"/>
                <w:sz w:val="24"/>
                <w:szCs w:val="24"/>
              </w:rPr>
            </w:pPr>
            <w:r>
              <w:rPr>
                <w:rFonts w:hint="eastAsia" w:ascii="宋体" w:hAnsi="宋体"/>
                <w:sz w:val="24"/>
                <w:szCs w:val="24"/>
              </w:rPr>
              <w:t>技术部分</w:t>
            </w:r>
          </w:p>
        </w:tc>
        <w:tc>
          <w:tcPr>
            <w:tcW w:w="5500" w:type="dxa"/>
            <w:noWrap w:val="0"/>
            <w:vAlign w:val="center"/>
          </w:tcPr>
          <w:p>
            <w:pPr>
              <w:jc w:val="center"/>
              <w:rPr>
                <w:rFonts w:ascii="宋体" w:hAnsi="宋体"/>
                <w:color w:val="auto"/>
                <w:sz w:val="24"/>
                <w:szCs w:val="24"/>
              </w:rPr>
            </w:pPr>
            <w:r>
              <w:rPr>
                <w:rFonts w:hint="eastAsia" w:ascii="宋体" w:hAnsi="宋体"/>
                <w:color w:val="auto"/>
                <w:sz w:val="24"/>
                <w:szCs w:val="24"/>
              </w:rPr>
              <w:t>48分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vMerge w:val="continue"/>
            <w:noWrap w:val="0"/>
            <w:vAlign w:val="center"/>
          </w:tcPr>
          <w:p>
            <w:pPr>
              <w:jc w:val="center"/>
              <w:rPr>
                <w:rFonts w:ascii="宋体" w:hAnsi="宋体"/>
                <w:sz w:val="24"/>
                <w:szCs w:val="24"/>
              </w:rPr>
            </w:pPr>
          </w:p>
        </w:tc>
        <w:tc>
          <w:tcPr>
            <w:tcW w:w="646" w:type="dxa"/>
            <w:noWrap w:val="0"/>
            <w:vAlign w:val="center"/>
          </w:tcPr>
          <w:p>
            <w:pPr>
              <w:jc w:val="center"/>
              <w:rPr>
                <w:rFonts w:ascii="宋体" w:hAnsi="宋体"/>
                <w:sz w:val="24"/>
                <w:szCs w:val="24"/>
              </w:rPr>
            </w:pPr>
            <w:r>
              <w:rPr>
                <w:rFonts w:hint="eastAsia" w:ascii="宋体" w:hAnsi="宋体"/>
                <w:sz w:val="24"/>
                <w:szCs w:val="24"/>
              </w:rPr>
              <w:t>序号</w:t>
            </w:r>
          </w:p>
        </w:tc>
        <w:tc>
          <w:tcPr>
            <w:tcW w:w="1260" w:type="dxa"/>
            <w:gridSpan w:val="2"/>
            <w:noWrap w:val="0"/>
            <w:vAlign w:val="center"/>
          </w:tcPr>
          <w:p>
            <w:pPr>
              <w:jc w:val="center"/>
              <w:rPr>
                <w:rFonts w:ascii="宋体" w:hAnsi="宋体"/>
                <w:sz w:val="24"/>
                <w:szCs w:val="24"/>
              </w:rPr>
            </w:pPr>
            <w:r>
              <w:rPr>
                <w:rFonts w:hint="eastAsia" w:ascii="宋体" w:hAnsi="宋体"/>
                <w:sz w:val="24"/>
                <w:szCs w:val="24"/>
              </w:rPr>
              <w:t>评分因素</w:t>
            </w:r>
          </w:p>
        </w:tc>
        <w:tc>
          <w:tcPr>
            <w:tcW w:w="699" w:type="dxa"/>
            <w:noWrap w:val="0"/>
            <w:vAlign w:val="center"/>
          </w:tcPr>
          <w:p>
            <w:pPr>
              <w:jc w:val="center"/>
              <w:rPr>
                <w:rFonts w:ascii="宋体" w:hAnsi="宋体"/>
                <w:sz w:val="24"/>
                <w:szCs w:val="24"/>
              </w:rPr>
            </w:pPr>
            <w:r>
              <w:rPr>
                <w:rFonts w:hint="eastAsia" w:ascii="宋体" w:hAnsi="宋体"/>
                <w:sz w:val="24"/>
                <w:szCs w:val="24"/>
              </w:rPr>
              <w:t>权重</w:t>
            </w:r>
          </w:p>
        </w:tc>
        <w:tc>
          <w:tcPr>
            <w:tcW w:w="770" w:type="dxa"/>
            <w:gridSpan w:val="2"/>
            <w:noWrap w:val="0"/>
            <w:vAlign w:val="center"/>
          </w:tcPr>
          <w:p>
            <w:pPr>
              <w:jc w:val="center"/>
              <w:rPr>
                <w:rFonts w:ascii="宋体" w:hAnsi="宋体"/>
                <w:sz w:val="24"/>
                <w:szCs w:val="24"/>
              </w:rPr>
            </w:pPr>
            <w:r>
              <w:rPr>
                <w:rFonts w:hint="eastAsia" w:ascii="宋体" w:hAnsi="宋体"/>
                <w:sz w:val="24"/>
                <w:szCs w:val="24"/>
              </w:rPr>
              <w:t>评分方式</w:t>
            </w:r>
          </w:p>
        </w:tc>
        <w:tc>
          <w:tcPr>
            <w:tcW w:w="5500" w:type="dxa"/>
            <w:noWrap w:val="0"/>
            <w:vAlign w:val="center"/>
          </w:tcPr>
          <w:p>
            <w:pPr>
              <w:jc w:val="center"/>
              <w:rPr>
                <w:rFonts w:ascii="宋体" w:hAnsi="宋体"/>
                <w:color w:val="auto"/>
                <w:sz w:val="24"/>
                <w:szCs w:val="24"/>
              </w:rPr>
            </w:pPr>
            <w:r>
              <w:rPr>
                <w:rFonts w:hint="eastAsia" w:ascii="宋体" w:hAnsi="宋体"/>
                <w:color w:val="auto"/>
                <w:sz w:val="24"/>
                <w:szCs w:val="24"/>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vMerge w:val="continue"/>
            <w:noWrap w:val="0"/>
            <w:vAlign w:val="center"/>
          </w:tcPr>
          <w:p>
            <w:pPr>
              <w:jc w:val="center"/>
              <w:rPr>
                <w:rFonts w:ascii="宋体" w:hAnsi="宋体"/>
                <w:sz w:val="24"/>
                <w:szCs w:val="24"/>
              </w:rPr>
            </w:pPr>
          </w:p>
        </w:tc>
        <w:tc>
          <w:tcPr>
            <w:tcW w:w="646" w:type="dxa"/>
            <w:noWrap w:val="0"/>
            <w:vAlign w:val="center"/>
          </w:tcPr>
          <w:p>
            <w:pPr>
              <w:jc w:val="center"/>
              <w:rPr>
                <w:rFonts w:ascii="宋体" w:hAnsi="宋体"/>
                <w:sz w:val="24"/>
                <w:szCs w:val="24"/>
              </w:rPr>
            </w:pPr>
            <w:r>
              <w:rPr>
                <w:rFonts w:hint="eastAsia" w:ascii="宋体" w:hAnsi="宋体"/>
                <w:sz w:val="24"/>
                <w:szCs w:val="24"/>
              </w:rPr>
              <w:t>1</w:t>
            </w:r>
          </w:p>
        </w:tc>
        <w:tc>
          <w:tcPr>
            <w:tcW w:w="1260" w:type="dxa"/>
            <w:gridSpan w:val="2"/>
            <w:noWrap w:val="0"/>
            <w:vAlign w:val="center"/>
          </w:tcPr>
          <w:p>
            <w:pPr>
              <w:jc w:val="center"/>
              <w:rPr>
                <w:rFonts w:ascii="宋体" w:hAnsi="宋体"/>
                <w:sz w:val="24"/>
                <w:szCs w:val="24"/>
              </w:rPr>
            </w:pPr>
            <w:r>
              <w:rPr>
                <w:rFonts w:hint="eastAsia" w:ascii="宋体" w:hAnsi="宋体"/>
                <w:sz w:val="24"/>
                <w:szCs w:val="24"/>
              </w:rPr>
              <w:t>技术响应情况</w:t>
            </w:r>
          </w:p>
        </w:tc>
        <w:tc>
          <w:tcPr>
            <w:tcW w:w="699" w:type="dxa"/>
            <w:noWrap w:val="0"/>
            <w:vAlign w:val="center"/>
          </w:tcPr>
          <w:p>
            <w:pPr>
              <w:jc w:val="center"/>
              <w:rPr>
                <w:rFonts w:ascii="宋体" w:hAnsi="宋体"/>
                <w:sz w:val="24"/>
                <w:szCs w:val="24"/>
              </w:rPr>
            </w:pPr>
            <w:r>
              <w:rPr>
                <w:rFonts w:hint="eastAsia" w:ascii="宋体" w:hAnsi="宋体"/>
                <w:sz w:val="24"/>
                <w:szCs w:val="24"/>
              </w:rPr>
              <w:t>45分</w:t>
            </w:r>
          </w:p>
        </w:tc>
        <w:tc>
          <w:tcPr>
            <w:tcW w:w="770" w:type="dxa"/>
            <w:gridSpan w:val="2"/>
            <w:noWrap w:val="0"/>
            <w:vAlign w:val="center"/>
          </w:tcPr>
          <w:p>
            <w:pPr>
              <w:jc w:val="center"/>
              <w:rPr>
                <w:rFonts w:ascii="宋体" w:hAnsi="宋体"/>
                <w:sz w:val="24"/>
                <w:szCs w:val="24"/>
              </w:rPr>
            </w:pPr>
            <w:r>
              <w:rPr>
                <w:rFonts w:hint="eastAsia" w:ascii="宋体" w:hAnsi="宋体"/>
                <w:sz w:val="24"/>
                <w:szCs w:val="24"/>
              </w:rPr>
              <w:t>专家评分</w:t>
            </w:r>
          </w:p>
        </w:tc>
        <w:tc>
          <w:tcPr>
            <w:tcW w:w="5500" w:type="dxa"/>
            <w:noWrap w:val="0"/>
            <w:vAlign w:val="center"/>
          </w:tcPr>
          <w:p>
            <w:pPr>
              <w:spacing w:line="280" w:lineRule="exact"/>
            </w:pPr>
            <w:r>
              <w:rPr>
                <w:rFonts w:hint="eastAsia"/>
              </w:rPr>
              <w:t>投标人应如实填写《技术规格偏离表》，评审委员会根据技术需求参数响应情况进行打分，各项技术参数指标及要求全部满足的得45分，带“▲”为重要参数，每负偏离一项扣</w:t>
            </w:r>
            <w:r>
              <w:rPr>
                <w:rFonts w:hint="eastAsia"/>
                <w:lang w:val="en-US" w:eastAsia="zh-CN"/>
              </w:rPr>
              <w:t>5</w:t>
            </w:r>
            <w:r>
              <w:rPr>
                <w:rFonts w:hint="eastAsia"/>
              </w:rPr>
              <w:t>分，其他参数每负偏离一项扣</w:t>
            </w:r>
            <w:r>
              <w:rPr>
                <w:rFonts w:hint="eastAsia"/>
                <w:lang w:val="en-US" w:eastAsia="zh-CN"/>
              </w:rPr>
              <w:t>3</w:t>
            </w:r>
            <w:r>
              <w:rPr>
                <w:rFonts w:hint="eastAsia"/>
              </w:rPr>
              <w:t>分，扣完为止。正偏离不加分。</w:t>
            </w:r>
          </w:p>
          <w:p>
            <w:pPr>
              <w:spacing w:line="280" w:lineRule="exact"/>
              <w:rPr>
                <w:rFonts w:hint="eastAsia"/>
              </w:rPr>
            </w:pPr>
            <w:r>
              <w:rPr>
                <w:rFonts w:hint="eastAsia"/>
              </w:rPr>
              <w:t>注：1、</w:t>
            </w:r>
            <w:r>
              <w:t>对带三角号（</w:t>
            </w:r>
            <w:r>
              <w:rPr>
                <w:rFonts w:hint="eastAsia"/>
              </w:rPr>
              <w:t>“▲”</w:t>
            </w:r>
            <w:r>
              <w:t>）的重要技术参数投标人必须提供相关证明材料（技术白皮书、彩页、产品说明书或检测报告等），否则按负偏离进行扣分。</w:t>
            </w:r>
          </w:p>
          <w:p>
            <w:pPr>
              <w:pStyle w:val="6"/>
              <w:numPr>
                <w:ilvl w:val="0"/>
                <w:numId w:val="1"/>
              </w:numPr>
              <w:jc w:val="left"/>
            </w:pPr>
            <w:r>
              <w:rPr>
                <w:rFonts w:hint="eastAsia"/>
                <w:lang w:eastAsia="zh-CN"/>
              </w:rPr>
              <w:t>负偏离参数项数合计≥技术规格参数项数合计的</w:t>
            </w:r>
            <w:r>
              <w:rPr>
                <w:rFonts w:hint="eastAsia"/>
                <w:lang w:val="en-US" w:eastAsia="zh-CN"/>
              </w:rPr>
              <w:t>50%，技术响应不得分。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2" w:hRule="atLeast"/>
          <w:jc w:val="center"/>
        </w:trPr>
        <w:tc>
          <w:tcPr>
            <w:tcW w:w="784" w:type="dxa"/>
            <w:vMerge w:val="continue"/>
            <w:noWrap w:val="0"/>
            <w:vAlign w:val="center"/>
          </w:tcPr>
          <w:p>
            <w:pPr>
              <w:jc w:val="center"/>
              <w:rPr>
                <w:rFonts w:ascii="宋体" w:hAnsi="宋体"/>
                <w:sz w:val="24"/>
                <w:szCs w:val="24"/>
              </w:rPr>
            </w:pPr>
          </w:p>
        </w:tc>
        <w:tc>
          <w:tcPr>
            <w:tcW w:w="646" w:type="dxa"/>
            <w:noWrap w:val="0"/>
            <w:vAlign w:val="center"/>
          </w:tcPr>
          <w:p>
            <w:pPr>
              <w:jc w:val="center"/>
              <w:rPr>
                <w:rFonts w:ascii="宋体" w:hAnsi="宋体"/>
                <w:sz w:val="24"/>
                <w:szCs w:val="24"/>
              </w:rPr>
            </w:pPr>
            <w:r>
              <w:rPr>
                <w:rFonts w:hint="eastAsia" w:ascii="宋体" w:hAnsi="宋体"/>
                <w:sz w:val="24"/>
                <w:szCs w:val="24"/>
              </w:rPr>
              <w:t>2</w:t>
            </w:r>
          </w:p>
        </w:tc>
        <w:tc>
          <w:tcPr>
            <w:tcW w:w="1260" w:type="dxa"/>
            <w:gridSpan w:val="2"/>
            <w:noWrap w:val="0"/>
            <w:vAlign w:val="center"/>
          </w:tcPr>
          <w:p>
            <w:pPr>
              <w:spacing w:line="240" w:lineRule="exact"/>
              <w:jc w:val="center"/>
              <w:rPr>
                <w:rFonts w:ascii="宋体" w:hAnsi="宋体"/>
                <w:sz w:val="24"/>
                <w:szCs w:val="24"/>
              </w:rPr>
            </w:pPr>
            <w:r>
              <w:rPr>
                <w:rFonts w:hint="eastAsia" w:ascii="宋体" w:hAnsi="宋体"/>
                <w:sz w:val="24"/>
                <w:szCs w:val="24"/>
              </w:rPr>
              <w:t>技术保障措施</w:t>
            </w:r>
          </w:p>
        </w:tc>
        <w:tc>
          <w:tcPr>
            <w:tcW w:w="699" w:type="dxa"/>
            <w:noWrap w:val="0"/>
            <w:vAlign w:val="center"/>
          </w:tcPr>
          <w:p>
            <w:pPr>
              <w:jc w:val="center"/>
              <w:rPr>
                <w:rFonts w:ascii="宋体" w:hAnsi="宋体"/>
                <w:sz w:val="24"/>
                <w:szCs w:val="24"/>
              </w:rPr>
            </w:pPr>
            <w:r>
              <w:rPr>
                <w:rFonts w:hint="eastAsia" w:ascii="宋体" w:hAnsi="宋体"/>
                <w:sz w:val="24"/>
                <w:szCs w:val="24"/>
              </w:rPr>
              <w:t>3分</w:t>
            </w:r>
          </w:p>
        </w:tc>
        <w:tc>
          <w:tcPr>
            <w:tcW w:w="770" w:type="dxa"/>
            <w:gridSpan w:val="2"/>
            <w:noWrap w:val="0"/>
            <w:vAlign w:val="center"/>
          </w:tcPr>
          <w:p>
            <w:pPr>
              <w:spacing w:line="240" w:lineRule="exact"/>
              <w:jc w:val="center"/>
              <w:rPr>
                <w:rFonts w:ascii="宋体" w:hAnsi="宋体"/>
                <w:sz w:val="24"/>
                <w:szCs w:val="24"/>
              </w:rPr>
            </w:pPr>
            <w:r>
              <w:rPr>
                <w:rFonts w:hint="eastAsia" w:ascii="宋体" w:hAnsi="宋体"/>
                <w:sz w:val="24"/>
                <w:szCs w:val="24"/>
              </w:rPr>
              <w:t>专家打分</w:t>
            </w:r>
          </w:p>
        </w:tc>
        <w:tc>
          <w:tcPr>
            <w:tcW w:w="5500" w:type="dxa"/>
            <w:noWrap w:val="0"/>
            <w:vAlign w:val="center"/>
          </w:tcPr>
          <w:p>
            <w:pPr>
              <w:spacing w:line="280" w:lineRule="exact"/>
              <w:rPr>
                <w:rFonts w:hint="eastAsia" w:ascii="宋体" w:hAnsi="宋体" w:cs="宋体"/>
                <w:color w:val="auto"/>
                <w:kern w:val="0"/>
                <w:sz w:val="24"/>
                <w:szCs w:val="24"/>
              </w:rPr>
            </w:pPr>
            <w:r>
              <w:rPr>
                <w:rFonts w:hint="eastAsia" w:ascii="宋体" w:hAnsi="宋体" w:cs="宋体"/>
                <w:color w:val="auto"/>
                <w:kern w:val="0"/>
                <w:sz w:val="24"/>
                <w:szCs w:val="24"/>
              </w:rPr>
              <w:t>在投标文件中详细说明保障措施（包括技术团队和技术方案、所投产品在同类产品中性能水平及应用程度等），评审委员会根据响应情况进行横向比较，按优3分，良2分，中1分，差0分打分。</w:t>
            </w:r>
          </w:p>
          <w:p>
            <w:pPr>
              <w:spacing w:line="280" w:lineRule="exact"/>
              <w:rPr>
                <w:rFonts w:hint="eastAsia" w:ascii="宋体" w:hAnsi="宋体" w:cs="宋体"/>
                <w:color w:val="auto"/>
                <w:kern w:val="0"/>
                <w:sz w:val="24"/>
                <w:szCs w:val="24"/>
              </w:rPr>
            </w:pPr>
            <w:r>
              <w:rPr>
                <w:rFonts w:hint="eastAsia" w:ascii="宋体" w:hAnsi="宋体" w:cs="宋体"/>
                <w:color w:val="auto"/>
                <w:kern w:val="0"/>
                <w:sz w:val="24"/>
                <w:szCs w:val="24"/>
              </w:rPr>
              <w:t>优：技术团队和技术方案完善、所投产品在同类产品中性能水平高及应用程度高。</w:t>
            </w:r>
          </w:p>
          <w:p>
            <w:pPr>
              <w:spacing w:line="280" w:lineRule="exact"/>
              <w:rPr>
                <w:rFonts w:hint="eastAsia" w:ascii="宋体" w:hAnsi="宋体" w:cs="宋体"/>
                <w:color w:val="auto"/>
                <w:kern w:val="0"/>
                <w:sz w:val="24"/>
                <w:szCs w:val="24"/>
              </w:rPr>
            </w:pPr>
            <w:r>
              <w:rPr>
                <w:rFonts w:hint="eastAsia" w:ascii="宋体" w:hAnsi="宋体" w:cs="宋体"/>
                <w:color w:val="auto"/>
                <w:kern w:val="0"/>
                <w:sz w:val="24"/>
                <w:szCs w:val="24"/>
              </w:rPr>
              <w:t>良：技术团队和技术方案较完善、所投产品在同类产品中性能水平较高及应用程度较高。</w:t>
            </w:r>
          </w:p>
          <w:p>
            <w:pPr>
              <w:spacing w:line="280" w:lineRule="exact"/>
              <w:rPr>
                <w:rFonts w:hint="eastAsia" w:ascii="宋体" w:hAnsi="宋体" w:cs="宋体"/>
                <w:color w:val="auto"/>
                <w:kern w:val="0"/>
                <w:sz w:val="24"/>
                <w:szCs w:val="24"/>
              </w:rPr>
            </w:pPr>
            <w:r>
              <w:rPr>
                <w:rFonts w:hint="eastAsia" w:ascii="宋体" w:hAnsi="宋体" w:cs="宋体"/>
                <w:color w:val="auto"/>
                <w:kern w:val="0"/>
                <w:sz w:val="24"/>
                <w:szCs w:val="24"/>
              </w:rPr>
              <w:t>中：技术团队和技术方案基本完善、所投产品在同类产品中性能水平普通及应用程度普通。</w:t>
            </w:r>
          </w:p>
          <w:p>
            <w:pPr>
              <w:spacing w:line="280" w:lineRule="exact"/>
              <w:rPr>
                <w:rFonts w:ascii="宋体" w:hAnsi="宋体" w:cs="宋体"/>
                <w:b/>
                <w:color w:val="auto"/>
                <w:sz w:val="24"/>
                <w:szCs w:val="24"/>
              </w:rPr>
            </w:pPr>
            <w:r>
              <w:rPr>
                <w:rFonts w:hint="eastAsia" w:ascii="宋体" w:hAnsi="宋体" w:cs="宋体"/>
                <w:color w:val="auto"/>
                <w:kern w:val="0"/>
                <w:sz w:val="24"/>
                <w:szCs w:val="24"/>
              </w:rPr>
              <w:t>差：不能满足基本要求及未提供详细说明。。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784" w:type="dxa"/>
            <w:vMerge w:val="restart"/>
            <w:noWrap w:val="0"/>
            <w:vAlign w:val="center"/>
          </w:tcPr>
          <w:p>
            <w:pPr>
              <w:jc w:val="center"/>
              <w:rPr>
                <w:rFonts w:ascii="宋体" w:hAnsi="宋体"/>
                <w:sz w:val="24"/>
                <w:szCs w:val="24"/>
              </w:rPr>
            </w:pPr>
            <w:r>
              <w:rPr>
                <w:rFonts w:hint="eastAsia" w:ascii="宋体" w:hAnsi="宋体"/>
                <w:sz w:val="24"/>
                <w:szCs w:val="24"/>
              </w:rPr>
              <w:t>三</w:t>
            </w:r>
          </w:p>
        </w:tc>
        <w:tc>
          <w:tcPr>
            <w:tcW w:w="3375" w:type="dxa"/>
            <w:gridSpan w:val="6"/>
            <w:noWrap w:val="0"/>
            <w:vAlign w:val="center"/>
          </w:tcPr>
          <w:p>
            <w:pPr>
              <w:jc w:val="center"/>
              <w:rPr>
                <w:rFonts w:ascii="宋体" w:hAnsi="宋体"/>
                <w:sz w:val="24"/>
                <w:szCs w:val="24"/>
              </w:rPr>
            </w:pPr>
            <w:r>
              <w:rPr>
                <w:rFonts w:hint="eastAsia" w:ascii="宋体" w:hAnsi="宋体"/>
                <w:sz w:val="24"/>
                <w:szCs w:val="24"/>
              </w:rPr>
              <w:t>商务部分</w:t>
            </w:r>
          </w:p>
        </w:tc>
        <w:tc>
          <w:tcPr>
            <w:tcW w:w="5500" w:type="dxa"/>
            <w:noWrap w:val="0"/>
            <w:vAlign w:val="center"/>
          </w:tcPr>
          <w:p>
            <w:pPr>
              <w:jc w:val="center"/>
              <w:rPr>
                <w:rFonts w:ascii="宋体" w:hAnsi="宋体"/>
                <w:color w:val="auto"/>
                <w:sz w:val="24"/>
                <w:szCs w:val="24"/>
              </w:rPr>
            </w:pPr>
            <w:r>
              <w:rPr>
                <w:rFonts w:hint="eastAsia" w:ascii="宋体" w:hAnsi="宋体"/>
                <w:color w:val="auto"/>
                <w:sz w:val="24"/>
                <w:szCs w:val="24"/>
              </w:rPr>
              <w:t>17分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784" w:type="dxa"/>
            <w:vMerge w:val="continue"/>
            <w:noWrap w:val="0"/>
            <w:vAlign w:val="center"/>
          </w:tcPr>
          <w:p>
            <w:pPr>
              <w:jc w:val="center"/>
              <w:rPr>
                <w:rFonts w:ascii="宋体" w:hAnsi="宋体"/>
                <w:sz w:val="24"/>
                <w:szCs w:val="24"/>
              </w:rPr>
            </w:pPr>
          </w:p>
        </w:tc>
        <w:tc>
          <w:tcPr>
            <w:tcW w:w="661" w:type="dxa"/>
            <w:gridSpan w:val="2"/>
            <w:noWrap w:val="0"/>
            <w:vAlign w:val="center"/>
          </w:tcPr>
          <w:p>
            <w:pPr>
              <w:spacing w:line="240" w:lineRule="exact"/>
              <w:jc w:val="center"/>
              <w:rPr>
                <w:rFonts w:ascii="宋体" w:hAnsi="宋体"/>
                <w:sz w:val="24"/>
                <w:szCs w:val="24"/>
              </w:rPr>
            </w:pPr>
            <w:r>
              <w:rPr>
                <w:rFonts w:ascii="宋体" w:hAnsi="宋体"/>
                <w:sz w:val="24"/>
                <w:szCs w:val="24"/>
              </w:rPr>
              <w:t>1</w:t>
            </w:r>
          </w:p>
        </w:tc>
        <w:tc>
          <w:tcPr>
            <w:tcW w:w="1245" w:type="dxa"/>
            <w:noWrap w:val="0"/>
            <w:vAlign w:val="center"/>
          </w:tcPr>
          <w:p>
            <w:pPr>
              <w:spacing w:line="240" w:lineRule="exact"/>
              <w:jc w:val="center"/>
              <w:rPr>
                <w:rFonts w:ascii="宋体" w:hAnsi="宋体"/>
                <w:sz w:val="24"/>
                <w:szCs w:val="24"/>
              </w:rPr>
            </w:pPr>
            <w:r>
              <w:rPr>
                <w:rFonts w:hint="eastAsia" w:ascii="宋体" w:hAnsi="宋体"/>
                <w:sz w:val="24"/>
                <w:szCs w:val="24"/>
              </w:rPr>
              <w:t>免费保修期内售后服务条款偏离情况</w:t>
            </w:r>
          </w:p>
        </w:tc>
        <w:tc>
          <w:tcPr>
            <w:tcW w:w="760" w:type="dxa"/>
            <w:gridSpan w:val="2"/>
            <w:noWrap w:val="0"/>
            <w:vAlign w:val="center"/>
          </w:tcPr>
          <w:p>
            <w:pPr>
              <w:spacing w:line="240" w:lineRule="exact"/>
              <w:jc w:val="center"/>
              <w:rPr>
                <w:rFonts w:ascii="宋体" w:hAnsi="宋体"/>
                <w:sz w:val="24"/>
                <w:szCs w:val="24"/>
              </w:rPr>
            </w:pPr>
            <w:r>
              <w:rPr>
                <w:rFonts w:hint="eastAsia" w:ascii="宋体" w:hAnsi="宋体" w:cs="宋体"/>
                <w:sz w:val="24"/>
                <w:szCs w:val="24"/>
              </w:rPr>
              <w:t>5分</w:t>
            </w:r>
          </w:p>
        </w:tc>
        <w:tc>
          <w:tcPr>
            <w:tcW w:w="709" w:type="dxa"/>
            <w:noWrap w:val="0"/>
            <w:vAlign w:val="center"/>
          </w:tcPr>
          <w:p>
            <w:pPr>
              <w:spacing w:line="240" w:lineRule="exact"/>
              <w:jc w:val="center"/>
              <w:rPr>
                <w:rFonts w:ascii="宋体" w:hAnsi="宋体"/>
                <w:sz w:val="24"/>
                <w:szCs w:val="24"/>
              </w:rPr>
            </w:pPr>
            <w:r>
              <w:rPr>
                <w:rFonts w:hint="eastAsia" w:ascii="宋体" w:hAnsi="宋体"/>
                <w:sz w:val="24"/>
                <w:szCs w:val="24"/>
              </w:rPr>
              <w:t>专家评分</w:t>
            </w:r>
          </w:p>
        </w:tc>
        <w:tc>
          <w:tcPr>
            <w:tcW w:w="5500" w:type="dxa"/>
            <w:noWrap w:val="0"/>
            <w:vAlign w:val="center"/>
          </w:tcPr>
          <w:p>
            <w:pPr>
              <w:spacing w:line="280" w:lineRule="exact"/>
              <w:rPr>
                <w:rFonts w:ascii="宋体" w:hAnsi="宋体" w:cs="宋体"/>
                <w:color w:val="auto"/>
                <w:sz w:val="24"/>
                <w:szCs w:val="24"/>
              </w:rPr>
            </w:pPr>
            <w:r>
              <w:rPr>
                <w:rFonts w:hint="eastAsia" w:ascii="宋体" w:hAnsi="宋体" w:cs="宋体"/>
                <w:color w:val="auto"/>
                <w:sz w:val="24"/>
                <w:szCs w:val="24"/>
              </w:rPr>
              <w:t>(1)投标人应如实填写《免费保修期内售后服务条款偏离表》，评审委员会根据响应情况进行打分。满足免费保修期的得2分，每增加一年加0.5分，最高得3分。</w:t>
            </w:r>
          </w:p>
          <w:p>
            <w:pPr>
              <w:spacing w:line="280" w:lineRule="exact"/>
              <w:rPr>
                <w:rFonts w:ascii="宋体" w:hAnsi="宋体" w:cs="宋体"/>
                <w:color w:val="auto"/>
                <w:sz w:val="24"/>
                <w:szCs w:val="24"/>
              </w:rPr>
            </w:pPr>
            <w:r>
              <w:rPr>
                <w:rFonts w:hint="eastAsia" w:ascii="宋体" w:hAnsi="宋体" w:cs="宋体"/>
                <w:color w:val="auto"/>
                <w:sz w:val="24"/>
                <w:szCs w:val="24"/>
              </w:rPr>
              <w:t>(2)其他要求全部满足要求的得2分，每负偏离一项扣1分。</w:t>
            </w:r>
          </w:p>
          <w:p>
            <w:pPr>
              <w:spacing w:line="280" w:lineRule="exact"/>
              <w:rPr>
                <w:rFonts w:ascii="宋体" w:hAnsi="宋体" w:cs="宋体"/>
                <w:color w:val="auto"/>
                <w:sz w:val="24"/>
                <w:szCs w:val="24"/>
              </w:rPr>
            </w:pPr>
            <w:r>
              <w:rPr>
                <w:rFonts w:hint="eastAsia" w:ascii="宋体" w:hAnsi="宋体" w:cs="宋体"/>
                <w:color w:val="auto"/>
                <w:sz w:val="24"/>
                <w:szCs w:val="24"/>
              </w:rPr>
              <w:t>以上两项合计5分。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jc w:val="center"/>
        </w:trPr>
        <w:tc>
          <w:tcPr>
            <w:tcW w:w="784" w:type="dxa"/>
            <w:vMerge w:val="continue"/>
            <w:noWrap w:val="0"/>
            <w:vAlign w:val="center"/>
          </w:tcPr>
          <w:p>
            <w:pPr>
              <w:jc w:val="center"/>
              <w:rPr>
                <w:rFonts w:ascii="宋体" w:hAnsi="宋体"/>
                <w:sz w:val="24"/>
                <w:szCs w:val="24"/>
              </w:rPr>
            </w:pPr>
          </w:p>
        </w:tc>
        <w:tc>
          <w:tcPr>
            <w:tcW w:w="661" w:type="dxa"/>
            <w:gridSpan w:val="2"/>
            <w:noWrap w:val="0"/>
            <w:vAlign w:val="center"/>
          </w:tcPr>
          <w:p>
            <w:pPr>
              <w:spacing w:line="240" w:lineRule="exact"/>
              <w:jc w:val="center"/>
              <w:rPr>
                <w:rFonts w:ascii="宋体" w:hAnsi="宋体"/>
                <w:sz w:val="24"/>
                <w:szCs w:val="24"/>
              </w:rPr>
            </w:pPr>
            <w:r>
              <w:rPr>
                <w:rFonts w:hint="eastAsia" w:ascii="宋体" w:hAnsi="宋体"/>
                <w:sz w:val="24"/>
                <w:szCs w:val="24"/>
              </w:rPr>
              <w:t>2</w:t>
            </w:r>
          </w:p>
        </w:tc>
        <w:tc>
          <w:tcPr>
            <w:tcW w:w="1245" w:type="dxa"/>
            <w:noWrap w:val="0"/>
            <w:vAlign w:val="center"/>
          </w:tcPr>
          <w:p>
            <w:pPr>
              <w:spacing w:line="240" w:lineRule="exact"/>
              <w:jc w:val="center"/>
              <w:rPr>
                <w:rFonts w:ascii="宋体" w:hAnsi="宋体"/>
                <w:sz w:val="24"/>
                <w:szCs w:val="24"/>
              </w:rPr>
            </w:pPr>
            <w:r>
              <w:rPr>
                <w:rFonts w:hint="eastAsia" w:ascii="宋体" w:hAnsi="宋体" w:cs="宋体"/>
                <w:sz w:val="24"/>
                <w:szCs w:val="24"/>
              </w:rPr>
              <w:t>免费保修期外售后服务条款偏离情况</w:t>
            </w:r>
          </w:p>
        </w:tc>
        <w:tc>
          <w:tcPr>
            <w:tcW w:w="760" w:type="dxa"/>
            <w:gridSpan w:val="2"/>
            <w:noWrap w:val="0"/>
            <w:vAlign w:val="center"/>
          </w:tcPr>
          <w:p>
            <w:pPr>
              <w:spacing w:line="240" w:lineRule="exact"/>
              <w:jc w:val="center"/>
              <w:rPr>
                <w:rFonts w:ascii="宋体" w:hAnsi="宋体"/>
                <w:sz w:val="24"/>
                <w:szCs w:val="24"/>
              </w:rPr>
            </w:pPr>
            <w:r>
              <w:rPr>
                <w:rFonts w:hint="eastAsia" w:ascii="宋体" w:hAnsi="宋体" w:cs="宋体"/>
                <w:sz w:val="24"/>
                <w:szCs w:val="24"/>
              </w:rPr>
              <w:t>6分</w:t>
            </w:r>
          </w:p>
        </w:tc>
        <w:tc>
          <w:tcPr>
            <w:tcW w:w="709" w:type="dxa"/>
            <w:noWrap w:val="0"/>
            <w:vAlign w:val="center"/>
          </w:tcPr>
          <w:p>
            <w:pPr>
              <w:spacing w:line="240" w:lineRule="exact"/>
              <w:jc w:val="center"/>
              <w:rPr>
                <w:rFonts w:ascii="宋体" w:hAnsi="宋体"/>
                <w:sz w:val="24"/>
                <w:szCs w:val="24"/>
              </w:rPr>
            </w:pPr>
            <w:r>
              <w:rPr>
                <w:rFonts w:hint="eastAsia" w:ascii="宋体" w:hAnsi="宋体"/>
                <w:sz w:val="24"/>
                <w:szCs w:val="24"/>
              </w:rPr>
              <w:t>专家评分</w:t>
            </w:r>
          </w:p>
        </w:tc>
        <w:tc>
          <w:tcPr>
            <w:tcW w:w="5500" w:type="dxa"/>
            <w:noWrap w:val="0"/>
            <w:vAlign w:val="center"/>
          </w:tcPr>
          <w:p>
            <w:pPr>
              <w:spacing w:line="280" w:lineRule="exact"/>
              <w:rPr>
                <w:rFonts w:ascii="宋体" w:hAnsi="宋体"/>
                <w:sz w:val="24"/>
                <w:szCs w:val="24"/>
              </w:rPr>
            </w:pPr>
            <w:r>
              <w:rPr>
                <w:rFonts w:hint="eastAsia" w:ascii="宋体" w:hAnsi="宋体" w:cs="宋体"/>
                <w:sz w:val="24"/>
                <w:szCs w:val="24"/>
              </w:rPr>
              <w:t>投标人应如实填写《免费保修期外售后服务条款偏离表》，评审委员会根据响应情况进行打分，每负偏离一项扣</w:t>
            </w:r>
            <w:r>
              <w:rPr>
                <w:rFonts w:hint="eastAsia" w:ascii="宋体" w:hAnsi="宋体" w:cs="宋体"/>
                <w:sz w:val="24"/>
                <w:szCs w:val="24"/>
                <w:lang w:val="en-US" w:eastAsia="zh-CN"/>
              </w:rPr>
              <w:t>1</w:t>
            </w:r>
            <w:r>
              <w:rPr>
                <w:rFonts w:hint="eastAsia" w:ascii="宋体" w:hAnsi="宋体" w:cs="宋体"/>
                <w:sz w:val="24"/>
                <w:szCs w:val="24"/>
              </w:rPr>
              <w:t>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784" w:type="dxa"/>
            <w:vMerge w:val="continue"/>
            <w:noWrap w:val="0"/>
            <w:vAlign w:val="center"/>
          </w:tcPr>
          <w:p>
            <w:pPr>
              <w:jc w:val="center"/>
              <w:rPr>
                <w:rFonts w:ascii="宋体" w:hAnsi="宋体"/>
                <w:sz w:val="24"/>
                <w:szCs w:val="24"/>
              </w:rPr>
            </w:pPr>
          </w:p>
        </w:tc>
        <w:tc>
          <w:tcPr>
            <w:tcW w:w="661" w:type="dxa"/>
            <w:gridSpan w:val="2"/>
            <w:noWrap w:val="0"/>
            <w:vAlign w:val="center"/>
          </w:tcPr>
          <w:p>
            <w:pPr>
              <w:spacing w:line="260" w:lineRule="exact"/>
              <w:jc w:val="center"/>
              <w:rPr>
                <w:rFonts w:ascii="宋体" w:hAnsi="宋体"/>
                <w:sz w:val="24"/>
                <w:szCs w:val="24"/>
              </w:rPr>
            </w:pPr>
            <w:r>
              <w:rPr>
                <w:rFonts w:ascii="宋体" w:hAnsi="宋体"/>
                <w:sz w:val="24"/>
                <w:szCs w:val="24"/>
              </w:rPr>
              <w:t>3</w:t>
            </w:r>
          </w:p>
        </w:tc>
        <w:tc>
          <w:tcPr>
            <w:tcW w:w="1245" w:type="dxa"/>
            <w:noWrap w:val="0"/>
            <w:vAlign w:val="center"/>
          </w:tcPr>
          <w:p>
            <w:pPr>
              <w:spacing w:line="260" w:lineRule="exact"/>
              <w:jc w:val="center"/>
              <w:rPr>
                <w:rFonts w:ascii="宋体" w:hAnsi="宋体"/>
                <w:sz w:val="24"/>
                <w:szCs w:val="24"/>
              </w:rPr>
            </w:pPr>
            <w:r>
              <w:rPr>
                <w:rFonts w:hint="eastAsia" w:ascii="宋体" w:hAnsi="宋体"/>
                <w:sz w:val="24"/>
                <w:szCs w:val="24"/>
              </w:rPr>
              <w:t>其他商务要求偏离情况</w:t>
            </w:r>
          </w:p>
        </w:tc>
        <w:tc>
          <w:tcPr>
            <w:tcW w:w="760" w:type="dxa"/>
            <w:gridSpan w:val="2"/>
            <w:noWrap w:val="0"/>
            <w:vAlign w:val="center"/>
          </w:tcPr>
          <w:p>
            <w:pPr>
              <w:spacing w:line="260" w:lineRule="exact"/>
              <w:jc w:val="center"/>
              <w:rPr>
                <w:rFonts w:ascii="宋体" w:hAnsi="宋体"/>
                <w:sz w:val="24"/>
                <w:szCs w:val="24"/>
              </w:rPr>
            </w:pPr>
            <w:r>
              <w:rPr>
                <w:rFonts w:hint="eastAsia" w:ascii="宋体" w:hAnsi="宋体" w:cs="宋体"/>
                <w:sz w:val="24"/>
                <w:szCs w:val="24"/>
              </w:rPr>
              <w:t>6分</w:t>
            </w:r>
          </w:p>
        </w:tc>
        <w:tc>
          <w:tcPr>
            <w:tcW w:w="709" w:type="dxa"/>
            <w:noWrap w:val="0"/>
            <w:vAlign w:val="center"/>
          </w:tcPr>
          <w:p>
            <w:pPr>
              <w:spacing w:line="260" w:lineRule="exact"/>
              <w:jc w:val="center"/>
              <w:rPr>
                <w:rFonts w:ascii="宋体" w:hAnsi="宋体"/>
                <w:sz w:val="24"/>
                <w:szCs w:val="24"/>
              </w:rPr>
            </w:pPr>
            <w:r>
              <w:rPr>
                <w:rFonts w:hint="eastAsia" w:ascii="宋体" w:hAnsi="宋体"/>
                <w:sz w:val="24"/>
                <w:szCs w:val="24"/>
              </w:rPr>
              <w:t>专家评分</w:t>
            </w:r>
          </w:p>
        </w:tc>
        <w:tc>
          <w:tcPr>
            <w:tcW w:w="5500" w:type="dxa"/>
            <w:noWrap w:val="0"/>
            <w:vAlign w:val="center"/>
          </w:tcPr>
          <w:p>
            <w:pPr>
              <w:spacing w:line="280" w:lineRule="exact"/>
              <w:rPr>
                <w:rFonts w:hint="eastAsia" w:ascii="宋体" w:hAnsi="宋体" w:cs="宋体"/>
                <w:sz w:val="24"/>
                <w:szCs w:val="24"/>
              </w:rPr>
            </w:pPr>
            <w:r>
              <w:rPr>
                <w:rFonts w:hint="eastAsia" w:ascii="宋体" w:hAnsi="宋体" w:cs="宋体"/>
                <w:sz w:val="24"/>
                <w:szCs w:val="24"/>
                <w:lang w:val="en-US" w:eastAsia="zh-CN"/>
              </w:rPr>
              <w:t>1、</w:t>
            </w:r>
            <w:r>
              <w:rPr>
                <w:rFonts w:hint="eastAsia" w:ascii="宋体" w:hAnsi="宋体" w:cs="宋体"/>
                <w:sz w:val="24"/>
                <w:szCs w:val="24"/>
              </w:rPr>
              <w:t>对招标文件的实质性要求作出有效响应且投标文件按招标文件要求具有有效性和完整性，得优：6分；</w:t>
            </w:r>
          </w:p>
          <w:p>
            <w:pPr>
              <w:spacing w:line="280" w:lineRule="exact"/>
              <w:rPr>
                <w:rFonts w:hint="eastAsia" w:ascii="宋体" w:hAnsi="宋体" w:cs="宋体"/>
                <w:sz w:val="24"/>
                <w:szCs w:val="24"/>
              </w:rPr>
            </w:pPr>
            <w:r>
              <w:rPr>
                <w:rFonts w:hint="eastAsia" w:ascii="宋体" w:hAnsi="宋体" w:cs="宋体"/>
                <w:sz w:val="24"/>
                <w:szCs w:val="24"/>
                <w:lang w:val="en-US" w:eastAsia="zh-CN"/>
              </w:rPr>
              <w:t>2、</w:t>
            </w:r>
            <w:r>
              <w:rPr>
                <w:rFonts w:hint="eastAsia" w:ascii="宋体" w:hAnsi="宋体" w:cs="宋体"/>
                <w:sz w:val="24"/>
                <w:szCs w:val="24"/>
              </w:rPr>
              <w:t>投标文件不缺项，表达不清晰，需现场解答，得良：3分；</w:t>
            </w:r>
          </w:p>
          <w:p>
            <w:pPr>
              <w:spacing w:line="280" w:lineRule="exact"/>
              <w:rPr>
                <w:rFonts w:hint="eastAsia" w:ascii="宋体" w:hAnsi="宋体" w:cs="宋体"/>
                <w:sz w:val="24"/>
                <w:szCs w:val="24"/>
              </w:rPr>
            </w:pPr>
            <w:r>
              <w:rPr>
                <w:rFonts w:hint="eastAsia" w:ascii="宋体" w:hAnsi="宋体" w:cs="宋体"/>
                <w:sz w:val="24"/>
                <w:szCs w:val="24"/>
                <w:lang w:val="en-US" w:eastAsia="zh-CN"/>
              </w:rPr>
              <w:t>3、</w:t>
            </w:r>
            <w:r>
              <w:rPr>
                <w:rFonts w:hint="eastAsia" w:ascii="宋体" w:hAnsi="宋体" w:cs="宋体"/>
                <w:sz w:val="24"/>
                <w:szCs w:val="24"/>
              </w:rPr>
              <w:t>投标文件缺项，经现场答辩，不影响评标，得中：1分；</w:t>
            </w:r>
          </w:p>
          <w:p>
            <w:pPr>
              <w:spacing w:line="280" w:lineRule="exact"/>
              <w:rPr>
                <w:rFonts w:ascii="宋体" w:hAnsi="宋体"/>
                <w:sz w:val="24"/>
                <w:szCs w:val="24"/>
              </w:rPr>
            </w:pPr>
            <w:r>
              <w:rPr>
                <w:rFonts w:hint="eastAsia" w:ascii="宋体" w:hAnsi="宋体" w:cs="宋体"/>
                <w:sz w:val="24"/>
                <w:szCs w:val="24"/>
              </w:rPr>
              <w:t>4</w:t>
            </w:r>
            <w:r>
              <w:rPr>
                <w:rFonts w:hint="eastAsia" w:ascii="宋体" w:hAnsi="宋体" w:cs="宋体"/>
                <w:sz w:val="24"/>
                <w:szCs w:val="24"/>
                <w:lang w:eastAsia="zh-CN"/>
              </w:rPr>
              <w:t>、</w:t>
            </w:r>
            <w:r>
              <w:rPr>
                <w:rFonts w:hint="eastAsia" w:ascii="宋体" w:hAnsi="宋体" w:cs="宋体"/>
                <w:sz w:val="24"/>
                <w:szCs w:val="24"/>
              </w:rPr>
              <w:t>存在明显缺项，影响评标，不得分。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784" w:type="dxa"/>
            <w:vMerge w:val="restart"/>
            <w:noWrap w:val="0"/>
            <w:vAlign w:val="center"/>
          </w:tcPr>
          <w:p>
            <w:pPr>
              <w:jc w:val="center"/>
              <w:rPr>
                <w:rFonts w:ascii="宋体" w:hAnsi="宋体"/>
                <w:sz w:val="24"/>
                <w:szCs w:val="24"/>
              </w:rPr>
            </w:pPr>
            <w:r>
              <w:rPr>
                <w:rFonts w:hint="eastAsia" w:ascii="宋体" w:hAnsi="宋体"/>
                <w:sz w:val="24"/>
                <w:szCs w:val="24"/>
              </w:rPr>
              <w:t>四</w:t>
            </w:r>
          </w:p>
        </w:tc>
        <w:tc>
          <w:tcPr>
            <w:tcW w:w="3375" w:type="dxa"/>
            <w:gridSpan w:val="6"/>
            <w:noWrap w:val="0"/>
            <w:vAlign w:val="center"/>
          </w:tcPr>
          <w:p>
            <w:pPr>
              <w:jc w:val="center"/>
              <w:rPr>
                <w:rFonts w:ascii="宋体" w:hAnsi="宋体"/>
                <w:sz w:val="24"/>
                <w:szCs w:val="24"/>
              </w:rPr>
            </w:pPr>
            <w:r>
              <w:rPr>
                <w:rFonts w:hint="eastAsia" w:ascii="宋体" w:hAnsi="宋体"/>
                <w:sz w:val="24"/>
                <w:szCs w:val="24"/>
              </w:rPr>
              <w:t>诚信情况</w:t>
            </w:r>
          </w:p>
        </w:tc>
        <w:tc>
          <w:tcPr>
            <w:tcW w:w="5500" w:type="dxa"/>
            <w:noWrap w:val="0"/>
            <w:vAlign w:val="center"/>
          </w:tcPr>
          <w:p>
            <w:pPr>
              <w:spacing w:line="280" w:lineRule="exact"/>
              <w:jc w:val="center"/>
              <w:rPr>
                <w:rFonts w:ascii="宋体" w:hAnsi="宋体" w:cs="宋体"/>
                <w:sz w:val="24"/>
                <w:szCs w:val="24"/>
              </w:rPr>
            </w:pPr>
            <w:r>
              <w:rPr>
                <w:rFonts w:hint="eastAsia" w:ascii="宋体" w:hAnsi="宋体" w:cs="宋体"/>
                <w:sz w:val="24"/>
                <w:szCs w:val="24"/>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vMerge w:val="continue"/>
            <w:noWrap w:val="0"/>
            <w:vAlign w:val="center"/>
          </w:tcPr>
          <w:p>
            <w:pPr>
              <w:jc w:val="center"/>
              <w:rPr>
                <w:rFonts w:ascii="宋体" w:hAnsi="宋体"/>
                <w:sz w:val="24"/>
                <w:szCs w:val="24"/>
              </w:rPr>
            </w:pPr>
          </w:p>
        </w:tc>
        <w:tc>
          <w:tcPr>
            <w:tcW w:w="646" w:type="dxa"/>
            <w:noWrap w:val="0"/>
            <w:vAlign w:val="center"/>
          </w:tcPr>
          <w:p>
            <w:pPr>
              <w:jc w:val="center"/>
              <w:rPr>
                <w:rFonts w:ascii="宋体" w:hAnsi="宋体"/>
                <w:sz w:val="24"/>
                <w:szCs w:val="24"/>
              </w:rPr>
            </w:pPr>
            <w:r>
              <w:rPr>
                <w:rFonts w:hint="eastAsia" w:ascii="宋体" w:hAnsi="宋体"/>
                <w:sz w:val="24"/>
                <w:szCs w:val="24"/>
              </w:rPr>
              <w:t>序号</w:t>
            </w:r>
          </w:p>
        </w:tc>
        <w:tc>
          <w:tcPr>
            <w:tcW w:w="1260" w:type="dxa"/>
            <w:gridSpan w:val="2"/>
            <w:noWrap w:val="0"/>
            <w:vAlign w:val="center"/>
          </w:tcPr>
          <w:p>
            <w:pPr>
              <w:jc w:val="center"/>
              <w:rPr>
                <w:rFonts w:ascii="宋体" w:hAnsi="宋体"/>
                <w:sz w:val="24"/>
                <w:szCs w:val="24"/>
              </w:rPr>
            </w:pPr>
            <w:r>
              <w:rPr>
                <w:rFonts w:hint="eastAsia" w:ascii="宋体" w:hAnsi="宋体"/>
                <w:sz w:val="24"/>
                <w:szCs w:val="24"/>
              </w:rPr>
              <w:t>评分因素</w:t>
            </w:r>
          </w:p>
        </w:tc>
        <w:tc>
          <w:tcPr>
            <w:tcW w:w="699" w:type="dxa"/>
            <w:noWrap w:val="0"/>
            <w:vAlign w:val="center"/>
          </w:tcPr>
          <w:p>
            <w:pPr>
              <w:jc w:val="center"/>
              <w:rPr>
                <w:rFonts w:ascii="宋体" w:hAnsi="宋体"/>
                <w:sz w:val="24"/>
                <w:szCs w:val="24"/>
              </w:rPr>
            </w:pPr>
            <w:r>
              <w:rPr>
                <w:rFonts w:hint="eastAsia" w:ascii="宋体" w:hAnsi="宋体"/>
                <w:sz w:val="24"/>
                <w:szCs w:val="24"/>
              </w:rPr>
              <w:t>权重</w:t>
            </w:r>
          </w:p>
        </w:tc>
        <w:tc>
          <w:tcPr>
            <w:tcW w:w="770" w:type="dxa"/>
            <w:gridSpan w:val="2"/>
            <w:noWrap w:val="0"/>
            <w:vAlign w:val="center"/>
          </w:tcPr>
          <w:p>
            <w:pPr>
              <w:jc w:val="center"/>
              <w:rPr>
                <w:rFonts w:ascii="宋体" w:hAnsi="宋体"/>
                <w:sz w:val="24"/>
                <w:szCs w:val="24"/>
              </w:rPr>
            </w:pPr>
            <w:r>
              <w:rPr>
                <w:rFonts w:hint="eastAsia" w:ascii="宋体" w:hAnsi="宋体"/>
                <w:sz w:val="24"/>
                <w:szCs w:val="24"/>
              </w:rPr>
              <w:t>评分方式</w:t>
            </w:r>
          </w:p>
        </w:tc>
        <w:tc>
          <w:tcPr>
            <w:tcW w:w="5500" w:type="dxa"/>
            <w:noWrap w:val="0"/>
            <w:vAlign w:val="center"/>
          </w:tcPr>
          <w:p>
            <w:pPr>
              <w:spacing w:line="280" w:lineRule="exact"/>
              <w:jc w:val="center"/>
              <w:rPr>
                <w:rFonts w:ascii="宋体" w:hAnsi="宋体" w:cs="宋体"/>
                <w:sz w:val="24"/>
                <w:szCs w:val="24"/>
              </w:rPr>
            </w:pPr>
            <w:r>
              <w:rPr>
                <w:rFonts w:hint="eastAsia" w:ascii="宋体" w:hAnsi="宋体" w:cs="宋体"/>
                <w:sz w:val="24"/>
                <w:szCs w:val="24"/>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784" w:type="dxa"/>
            <w:vMerge w:val="continue"/>
            <w:noWrap w:val="0"/>
            <w:vAlign w:val="center"/>
          </w:tcPr>
          <w:p>
            <w:pPr>
              <w:jc w:val="center"/>
              <w:rPr>
                <w:rFonts w:ascii="宋体" w:hAnsi="宋体"/>
                <w:sz w:val="24"/>
                <w:szCs w:val="24"/>
              </w:rPr>
            </w:pPr>
          </w:p>
        </w:tc>
        <w:tc>
          <w:tcPr>
            <w:tcW w:w="646" w:type="dxa"/>
            <w:noWrap w:val="0"/>
            <w:vAlign w:val="center"/>
          </w:tcPr>
          <w:p>
            <w:pPr>
              <w:jc w:val="center"/>
              <w:rPr>
                <w:rFonts w:ascii="宋体" w:hAnsi="宋体"/>
                <w:sz w:val="24"/>
                <w:szCs w:val="24"/>
              </w:rPr>
            </w:pPr>
            <w:r>
              <w:rPr>
                <w:rFonts w:hint="eastAsia" w:ascii="宋体" w:hAnsi="宋体"/>
                <w:sz w:val="24"/>
                <w:szCs w:val="24"/>
              </w:rPr>
              <w:t>1</w:t>
            </w:r>
          </w:p>
        </w:tc>
        <w:tc>
          <w:tcPr>
            <w:tcW w:w="1260" w:type="dxa"/>
            <w:gridSpan w:val="2"/>
            <w:noWrap w:val="0"/>
            <w:vAlign w:val="center"/>
          </w:tcPr>
          <w:p>
            <w:pPr>
              <w:spacing w:before="100" w:beforeAutospacing="1" w:after="100" w:afterAutospacing="1" w:line="20" w:lineRule="atLeast"/>
              <w:jc w:val="center"/>
              <w:rPr>
                <w:rFonts w:ascii="宋体" w:hAnsi="宋体"/>
                <w:sz w:val="24"/>
                <w:szCs w:val="24"/>
              </w:rPr>
            </w:pPr>
            <w:r>
              <w:rPr>
                <w:rFonts w:hint="eastAsia" w:ascii="宋体" w:hAnsi="宋体"/>
                <w:sz w:val="24"/>
                <w:szCs w:val="24"/>
              </w:rPr>
              <w:t>诚信情况</w:t>
            </w:r>
          </w:p>
        </w:tc>
        <w:tc>
          <w:tcPr>
            <w:tcW w:w="699" w:type="dxa"/>
            <w:noWrap w:val="0"/>
            <w:vAlign w:val="center"/>
          </w:tcPr>
          <w:p>
            <w:pPr>
              <w:jc w:val="center"/>
              <w:rPr>
                <w:rFonts w:ascii="宋体" w:hAnsi="宋体"/>
                <w:sz w:val="24"/>
                <w:szCs w:val="24"/>
              </w:rPr>
            </w:pPr>
            <w:r>
              <w:rPr>
                <w:rFonts w:hint="eastAsia" w:ascii="宋体" w:hAnsi="宋体"/>
                <w:sz w:val="24"/>
                <w:szCs w:val="24"/>
              </w:rPr>
              <w:t xml:space="preserve">5分 </w:t>
            </w:r>
          </w:p>
        </w:tc>
        <w:tc>
          <w:tcPr>
            <w:tcW w:w="770" w:type="dxa"/>
            <w:gridSpan w:val="2"/>
            <w:noWrap w:val="0"/>
            <w:vAlign w:val="center"/>
          </w:tcPr>
          <w:p>
            <w:pPr>
              <w:spacing w:before="100" w:beforeAutospacing="1" w:after="100" w:afterAutospacing="1" w:line="20" w:lineRule="atLeast"/>
              <w:jc w:val="center"/>
              <w:rPr>
                <w:rFonts w:ascii="宋体" w:hAnsi="宋体"/>
                <w:sz w:val="24"/>
                <w:szCs w:val="24"/>
              </w:rPr>
            </w:pPr>
            <w:r>
              <w:rPr>
                <w:rFonts w:hint="eastAsia" w:ascii="宋体" w:hAnsi="宋体"/>
                <w:sz w:val="24"/>
                <w:szCs w:val="24"/>
              </w:rPr>
              <w:t>专家评分</w:t>
            </w:r>
          </w:p>
        </w:tc>
        <w:tc>
          <w:tcPr>
            <w:tcW w:w="5500" w:type="dxa"/>
            <w:noWrap w:val="0"/>
            <w:vAlign w:val="center"/>
          </w:tcPr>
          <w:p>
            <w:pPr>
              <w:spacing w:line="280" w:lineRule="exact"/>
              <w:rPr>
                <w:rFonts w:ascii="宋体" w:hAnsi="宋体" w:cs="宋体"/>
                <w:sz w:val="24"/>
                <w:szCs w:val="24"/>
              </w:rPr>
            </w:pPr>
            <w:r>
              <w:rPr>
                <w:rFonts w:hint="eastAsia" w:ascii="宋体" w:hAnsi="宋体" w:cs="宋体"/>
                <w:sz w:val="24"/>
                <w:szCs w:val="24"/>
              </w:rPr>
              <w:t>评审标准：依据深财购[2013]27号文的有关规定，本项目将对投标人诚信进行评审：</w:t>
            </w:r>
          </w:p>
          <w:p>
            <w:pPr>
              <w:spacing w:line="280" w:lineRule="exact"/>
              <w:rPr>
                <w:rFonts w:ascii="宋体" w:hAnsi="宋体" w:cs="宋体"/>
                <w:sz w:val="24"/>
                <w:szCs w:val="24"/>
              </w:rPr>
            </w:pPr>
            <w:r>
              <w:rPr>
                <w:rFonts w:hint="eastAsia" w:ascii="宋体" w:hAnsi="宋体" w:cs="宋体"/>
                <w:sz w:val="24"/>
                <w:szCs w:val="24"/>
              </w:rPr>
              <w:t>（1）投标人不存在不诚信情况且按照要求提供承诺函的，得5分。</w:t>
            </w:r>
          </w:p>
          <w:p>
            <w:pPr>
              <w:spacing w:line="280" w:lineRule="exact"/>
              <w:rPr>
                <w:rFonts w:ascii="宋体" w:hAnsi="宋体" w:cs="宋体"/>
                <w:sz w:val="24"/>
                <w:szCs w:val="24"/>
              </w:rPr>
            </w:pPr>
            <w:r>
              <w:rPr>
                <w:rFonts w:hint="eastAsia" w:ascii="宋体" w:hAnsi="宋体" w:cs="宋体"/>
                <w:sz w:val="24"/>
                <w:szCs w:val="24"/>
              </w:rPr>
              <w:t>（2）投标人存在不诚信情况或未按规定提供承诺函的，得0分。</w:t>
            </w:r>
          </w:p>
        </w:tc>
      </w:tr>
    </w:tbl>
    <w:p>
      <w:pPr>
        <w:spacing w:line="360" w:lineRule="auto"/>
        <w:rPr>
          <w:rFonts w:ascii="宋体" w:hAnsi="宋体"/>
          <w:sz w:val="24"/>
          <w:szCs w:val="24"/>
        </w:rPr>
      </w:pPr>
      <w:r>
        <w:rPr>
          <w:rFonts w:hint="eastAsia" w:ascii="宋体" w:hAnsi="宋体"/>
          <w:sz w:val="24"/>
          <w:szCs w:val="24"/>
        </w:rPr>
        <w:t>注：1、每项得分均不能超过该项最高分值，得分精确至小数点后两位。</w:t>
      </w:r>
    </w:p>
    <w:p>
      <w:pPr>
        <w:spacing w:line="360" w:lineRule="auto"/>
        <w:ind w:firstLine="480" w:firstLineChars="200"/>
        <w:rPr>
          <w:rFonts w:asciiTheme="minorEastAsia" w:hAnsiTheme="minorEastAsia" w:eastAsiaTheme="minorEastAsia"/>
          <w:sz w:val="24"/>
          <w:szCs w:val="24"/>
        </w:rPr>
      </w:pPr>
      <w:r>
        <w:rPr>
          <w:rFonts w:hint="eastAsia" w:ascii="宋体" w:hAnsi="宋体"/>
          <w:sz w:val="24"/>
          <w:szCs w:val="24"/>
        </w:rPr>
        <w:t>2、缺项或不合格，则该项为0分。</w:t>
      </w: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rPr>
        <w:t>项目投标文件</w:t>
      </w:r>
    </w:p>
    <w:p>
      <w:pPr>
        <w:spacing w:line="360" w:lineRule="auto"/>
        <w:rPr>
          <w:rFonts w:asciiTheme="minorEastAsia" w:hAnsiTheme="minorEastAsia" w:eastAsiaTheme="minorEastAsia"/>
          <w:b/>
          <w:sz w:val="24"/>
          <w:szCs w:val="24"/>
        </w:rPr>
      </w:pPr>
    </w:p>
    <w:p>
      <w:pPr>
        <w:spacing w:line="360" w:lineRule="auto"/>
        <w:jc w:val="center"/>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开标一览表</w:t>
      </w: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ind w:firstLine="1084" w:firstLineChars="450"/>
        <w:jc w:val="left"/>
        <w:rPr>
          <w:rFonts w:hint="default" w:asciiTheme="minorEastAsia" w:hAnsiTheme="minorEastAsia" w:eastAsiaTheme="minorEastAsia"/>
          <w:b/>
          <w:sz w:val="24"/>
          <w:szCs w:val="24"/>
          <w:u w:val="single"/>
          <w:lang w:val="en-US"/>
        </w:rPr>
      </w:pPr>
      <w:r>
        <w:rPr>
          <w:rFonts w:hint="eastAsia" w:asciiTheme="minorEastAsia" w:hAnsiTheme="minorEastAsia" w:eastAsiaTheme="minorEastAsia"/>
          <w:b/>
          <w:sz w:val="24"/>
          <w:szCs w:val="24"/>
        </w:rPr>
        <w:t>采购编号：</w:t>
      </w:r>
      <w:r>
        <w:rPr>
          <w:rFonts w:hint="eastAsia" w:asciiTheme="minorEastAsia" w:hAnsiTheme="minorEastAsia" w:eastAsiaTheme="minorEastAsia"/>
          <w:b/>
          <w:sz w:val="24"/>
          <w:szCs w:val="24"/>
          <w:u w:val="single"/>
        </w:rPr>
        <w:t xml:space="preserve">   SEY</w:t>
      </w:r>
      <w:r>
        <w:rPr>
          <w:rFonts w:hint="eastAsia" w:asciiTheme="minorEastAsia" w:hAnsiTheme="minorEastAsia" w:eastAsiaTheme="minorEastAsia"/>
          <w:b/>
          <w:sz w:val="24"/>
          <w:szCs w:val="24"/>
          <w:u w:val="single"/>
          <w:lang w:val="en-US" w:eastAsia="zh-CN"/>
        </w:rPr>
        <w:t>SB - SB</w:t>
      </w: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u w:val="single"/>
          <w:lang w:val="en-US" w:eastAsia="zh-CN"/>
        </w:rPr>
        <w:t xml:space="preserve">2021 </w:t>
      </w:r>
      <w:r>
        <w:rPr>
          <w:rFonts w:hint="eastAsia" w:asciiTheme="minorEastAsia" w:hAnsiTheme="minorEastAsia" w:eastAsiaTheme="minorEastAsia"/>
          <w:b/>
          <w:sz w:val="24"/>
          <w:szCs w:val="24"/>
          <w:u w:val="single"/>
        </w:rPr>
        <w:t>-</w:t>
      </w:r>
      <w:r>
        <w:rPr>
          <w:rFonts w:hint="eastAsia" w:asciiTheme="minorEastAsia" w:hAnsiTheme="minorEastAsia" w:eastAsiaTheme="minorEastAsia"/>
          <w:b/>
          <w:sz w:val="24"/>
          <w:szCs w:val="24"/>
          <w:u w:val="single"/>
          <w:lang w:val="en-US" w:eastAsia="zh-CN"/>
        </w:rPr>
        <w:t xml:space="preserve">  </w:t>
      </w:r>
    </w:p>
    <w:p>
      <w:pPr>
        <w:spacing w:line="360" w:lineRule="auto"/>
        <w:ind w:firstLine="1084" w:firstLineChars="450"/>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投标人名称（公章)：</w:t>
      </w:r>
      <w:r>
        <w:rPr>
          <w:rFonts w:hint="eastAsia" w:asciiTheme="minorEastAsia" w:hAnsiTheme="minorEastAsia" w:eastAsiaTheme="minorEastAsia"/>
          <w:b/>
          <w:sz w:val="24"/>
          <w:szCs w:val="24"/>
          <w:u w:val="single"/>
        </w:rPr>
        <w:t xml:space="preserve">                   </w:t>
      </w:r>
    </w:p>
    <w:p>
      <w:pPr>
        <w:spacing w:line="360" w:lineRule="auto"/>
        <w:ind w:firstLine="1084" w:firstLineChars="450"/>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投标人代表（签字）：</w:t>
      </w:r>
      <w:r>
        <w:rPr>
          <w:rFonts w:hint="eastAsia" w:asciiTheme="minorEastAsia" w:hAnsiTheme="minorEastAsia" w:eastAsiaTheme="minorEastAsia"/>
          <w:b/>
          <w:sz w:val="24"/>
          <w:szCs w:val="24"/>
          <w:u w:val="single"/>
        </w:rPr>
        <w:t xml:space="preserve">                    </w:t>
      </w:r>
    </w:p>
    <w:p>
      <w:pPr>
        <w:spacing w:line="360" w:lineRule="auto"/>
        <w:ind w:firstLine="1084" w:firstLineChars="450"/>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投标日期：</w:t>
      </w: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rPr>
        <w:t xml:space="preserve">年 </w:t>
      </w: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rPr>
        <w:t>月</w:t>
      </w: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rPr>
        <w:t>日</w:t>
      </w:r>
    </w:p>
    <w:p>
      <w:pPr>
        <w:spacing w:line="300" w:lineRule="auto"/>
        <w:rPr>
          <w:rFonts w:asciiTheme="minorEastAsia" w:hAnsiTheme="minorEastAsia" w:eastAsiaTheme="minorEastAsia"/>
          <w:sz w:val="24"/>
          <w:szCs w:val="24"/>
        </w:rPr>
        <w:sectPr>
          <w:footerReference r:id="rId4" w:type="default"/>
          <w:headerReference r:id="rId3" w:type="even"/>
          <w:pgSz w:w="11906" w:h="16838"/>
          <w:pgMar w:top="1701" w:right="1588" w:bottom="1304" w:left="1588" w:header="1247" w:footer="737" w:gutter="0"/>
          <w:cols w:space="425" w:num="1"/>
          <w:docGrid w:linePitch="380" w:charSpace="-4301"/>
        </w:sectPr>
      </w:pPr>
    </w:p>
    <w:p>
      <w:pPr>
        <w:spacing w:line="300" w:lineRule="auto"/>
        <w:rPr>
          <w:rFonts w:asciiTheme="minorEastAsia" w:hAnsiTheme="minorEastAsia" w:eastAsiaTheme="minorEastAsia"/>
          <w:b/>
          <w:sz w:val="24"/>
          <w:szCs w:val="24"/>
        </w:rPr>
      </w:pPr>
      <w:r>
        <w:rPr>
          <w:rFonts w:hint="eastAsia" w:asciiTheme="minorEastAsia" w:hAnsiTheme="minorEastAsia" w:eastAsiaTheme="minorEastAsia"/>
          <w:sz w:val="24"/>
          <w:szCs w:val="24"/>
        </w:rPr>
        <w:t xml:space="preserve">开标一览表格式               </w:t>
      </w:r>
    </w:p>
    <w:p>
      <w:pPr>
        <w:pStyle w:val="5"/>
        <w:spacing w:line="300" w:lineRule="auto"/>
        <w:jc w:val="center"/>
        <w:rPr>
          <w:rFonts w:asciiTheme="minorEastAsia" w:hAnsiTheme="minorEastAsia" w:eastAsiaTheme="minorEastAsia"/>
          <w:bCs/>
          <w:szCs w:val="24"/>
        </w:rPr>
      </w:pPr>
      <w:bookmarkStart w:id="0" w:name="_Toc309632062"/>
      <w:bookmarkStart w:id="1" w:name="_Toc313109512"/>
      <w:r>
        <w:rPr>
          <w:rFonts w:hint="eastAsia" w:asciiTheme="minorEastAsia" w:hAnsiTheme="minorEastAsia" w:eastAsiaTheme="minorEastAsia"/>
          <w:bCs/>
          <w:szCs w:val="24"/>
        </w:rPr>
        <w:t>一、开标一览表</w:t>
      </w:r>
      <w:bookmarkEnd w:id="0"/>
      <w:bookmarkEnd w:id="1"/>
    </w:p>
    <w:p>
      <w:pPr>
        <w:spacing w:line="300" w:lineRule="auto"/>
        <w:rPr>
          <w:rFonts w:asciiTheme="minorEastAsia" w:hAnsiTheme="minorEastAsia" w:eastAsiaTheme="minorEastAsia"/>
          <w:bCs/>
          <w:snapToGrid w:val="0"/>
          <w:kern w:val="0"/>
          <w:sz w:val="24"/>
          <w:szCs w:val="24"/>
        </w:rPr>
      </w:pPr>
      <w:r>
        <w:rPr>
          <w:rFonts w:hint="eastAsia" w:asciiTheme="minorEastAsia" w:hAnsiTheme="minorEastAsia" w:eastAsiaTheme="minorEastAsia"/>
          <w:bCs/>
          <w:snapToGrid w:val="0"/>
          <w:kern w:val="0"/>
          <w:sz w:val="24"/>
          <w:szCs w:val="24"/>
        </w:rPr>
        <w:t xml:space="preserve">               </w:t>
      </w:r>
    </w:p>
    <w:p>
      <w:pPr>
        <w:spacing w:line="300" w:lineRule="auto"/>
        <w:rPr>
          <w:rFonts w:asciiTheme="minorEastAsia" w:hAnsiTheme="minorEastAsia" w:eastAsiaTheme="minorEastAsia"/>
          <w:bCs/>
          <w:snapToGrid w:val="0"/>
          <w:kern w:val="0"/>
          <w:sz w:val="24"/>
          <w:szCs w:val="24"/>
        </w:rPr>
      </w:pPr>
      <w:r>
        <w:rPr>
          <w:rFonts w:hint="eastAsia" w:asciiTheme="minorEastAsia" w:hAnsiTheme="minorEastAsia" w:eastAsiaTheme="minorEastAsia"/>
          <w:bCs/>
          <w:snapToGrid w:val="0"/>
          <w:kern w:val="0"/>
          <w:sz w:val="24"/>
          <w:szCs w:val="24"/>
        </w:rPr>
        <w:t>项目编号：</w:t>
      </w:r>
      <w:r>
        <w:rPr>
          <w:rFonts w:hint="eastAsia" w:asciiTheme="minorEastAsia" w:hAnsiTheme="minorEastAsia" w:eastAsiaTheme="minorEastAsia"/>
          <w:bCs/>
          <w:snapToGrid w:val="0"/>
          <w:kern w:val="0"/>
          <w:sz w:val="24"/>
          <w:szCs w:val="24"/>
          <w:u w:val="single"/>
        </w:rPr>
        <w:t xml:space="preserve">                     </w:t>
      </w:r>
      <w:r>
        <w:rPr>
          <w:rFonts w:hint="eastAsia" w:asciiTheme="minorEastAsia" w:hAnsiTheme="minorEastAsia" w:eastAsiaTheme="minorEastAsia"/>
          <w:bCs/>
          <w:snapToGrid w:val="0"/>
          <w:kern w:val="0"/>
          <w:sz w:val="24"/>
          <w:szCs w:val="24"/>
        </w:rPr>
        <w:t xml:space="preserve">         </w:t>
      </w:r>
    </w:p>
    <w:p>
      <w:pPr>
        <w:jc w:val="center"/>
        <w:rPr>
          <w:sz w:val="32"/>
          <w:szCs w:val="32"/>
        </w:rPr>
      </w:pPr>
      <w:r>
        <w:rPr>
          <w:rFonts w:hint="eastAsia" w:asciiTheme="minorEastAsia" w:hAnsiTheme="minorEastAsia" w:eastAsiaTheme="minorEastAsia"/>
          <w:bCs/>
          <w:snapToGrid w:val="0"/>
          <w:kern w:val="0"/>
          <w:sz w:val="24"/>
          <w:szCs w:val="24"/>
        </w:rPr>
        <w:t xml:space="preserve">   </w:t>
      </w:r>
    </w:p>
    <w:tbl>
      <w:tblPr>
        <w:tblStyle w:val="13"/>
        <w:tblW w:w="9207" w:type="dxa"/>
        <w:tblInd w:w="-45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76"/>
        <w:gridCol w:w="1819"/>
        <w:gridCol w:w="1682"/>
        <w:gridCol w:w="1374"/>
        <w:gridCol w:w="369"/>
        <w:gridCol w:w="26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7" w:hRule="atLeast"/>
        </w:trPr>
        <w:tc>
          <w:tcPr>
            <w:tcW w:w="3095" w:type="dxa"/>
            <w:gridSpan w:val="2"/>
          </w:tcPr>
          <w:p>
            <w:pPr>
              <w:jc w:val="center"/>
              <w:rPr>
                <w:szCs w:val="21"/>
              </w:rPr>
            </w:pPr>
            <w:r>
              <w:rPr>
                <w:rFonts w:hint="eastAsia"/>
                <w:szCs w:val="21"/>
              </w:rPr>
              <w:t>项目编号</w:t>
            </w:r>
          </w:p>
        </w:tc>
        <w:tc>
          <w:tcPr>
            <w:tcW w:w="3425" w:type="dxa"/>
            <w:gridSpan w:val="3"/>
          </w:tcPr>
          <w:p>
            <w:pPr>
              <w:jc w:val="center"/>
              <w:rPr>
                <w:szCs w:val="21"/>
              </w:rPr>
            </w:pPr>
            <w:r>
              <w:rPr>
                <w:rFonts w:hint="eastAsia"/>
                <w:szCs w:val="21"/>
              </w:rPr>
              <w:t>供应商名称</w:t>
            </w:r>
          </w:p>
        </w:tc>
        <w:tc>
          <w:tcPr>
            <w:tcW w:w="2687" w:type="dxa"/>
          </w:tcPr>
          <w:p>
            <w:pPr>
              <w:jc w:val="center"/>
              <w:rPr>
                <w:szCs w:val="21"/>
              </w:rPr>
            </w:pPr>
            <w:r>
              <w:rPr>
                <w:rFonts w:hint="eastAsia"/>
                <w:szCs w:val="21"/>
              </w:rPr>
              <w:t>设备名称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3" w:hRule="atLeast"/>
        </w:trPr>
        <w:tc>
          <w:tcPr>
            <w:tcW w:w="3095" w:type="dxa"/>
            <w:gridSpan w:val="2"/>
          </w:tcPr>
          <w:p>
            <w:pPr>
              <w:jc w:val="center"/>
              <w:rPr>
                <w:szCs w:val="21"/>
              </w:rPr>
            </w:pPr>
          </w:p>
        </w:tc>
        <w:tc>
          <w:tcPr>
            <w:tcW w:w="3425" w:type="dxa"/>
            <w:gridSpan w:val="3"/>
          </w:tcPr>
          <w:p>
            <w:pPr>
              <w:jc w:val="center"/>
              <w:rPr>
                <w:szCs w:val="21"/>
              </w:rPr>
            </w:pPr>
          </w:p>
        </w:tc>
        <w:tc>
          <w:tcPr>
            <w:tcW w:w="2687" w:type="dxa"/>
          </w:tcPr>
          <w:p>
            <w:pPr>
              <w:jc w:val="cente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9" w:hRule="atLeast"/>
        </w:trPr>
        <w:tc>
          <w:tcPr>
            <w:tcW w:w="1276" w:type="dxa"/>
          </w:tcPr>
          <w:p>
            <w:pPr>
              <w:jc w:val="center"/>
              <w:rPr>
                <w:szCs w:val="21"/>
              </w:rPr>
            </w:pPr>
            <w:r>
              <w:rPr>
                <w:rFonts w:hint="eastAsia"/>
                <w:szCs w:val="21"/>
                <w:lang w:eastAsia="zh-CN"/>
              </w:rPr>
              <w:t>品牌</w:t>
            </w:r>
          </w:p>
        </w:tc>
        <w:tc>
          <w:tcPr>
            <w:tcW w:w="1819" w:type="dxa"/>
          </w:tcPr>
          <w:p>
            <w:pPr>
              <w:jc w:val="center"/>
              <w:rPr>
                <w:rFonts w:hint="eastAsia"/>
                <w:szCs w:val="21"/>
                <w:lang w:eastAsia="zh-CN"/>
              </w:rPr>
            </w:pPr>
            <w:r>
              <w:rPr>
                <w:rFonts w:hint="eastAsia"/>
                <w:szCs w:val="21"/>
              </w:rPr>
              <w:t>型号及规格</w:t>
            </w:r>
          </w:p>
        </w:tc>
        <w:tc>
          <w:tcPr>
            <w:tcW w:w="1682" w:type="dxa"/>
          </w:tcPr>
          <w:p>
            <w:pPr>
              <w:jc w:val="center"/>
              <w:rPr>
                <w:szCs w:val="21"/>
              </w:rPr>
            </w:pPr>
            <w:r>
              <w:rPr>
                <w:rFonts w:hint="eastAsia"/>
                <w:szCs w:val="21"/>
              </w:rPr>
              <w:t>产地</w:t>
            </w:r>
          </w:p>
        </w:tc>
        <w:tc>
          <w:tcPr>
            <w:tcW w:w="1743" w:type="dxa"/>
            <w:gridSpan w:val="2"/>
          </w:tcPr>
          <w:p>
            <w:pPr>
              <w:jc w:val="center"/>
              <w:rPr>
                <w:rFonts w:hint="eastAsia"/>
                <w:szCs w:val="21"/>
              </w:rPr>
            </w:pPr>
            <w:r>
              <w:rPr>
                <w:rFonts w:hint="eastAsia"/>
                <w:szCs w:val="21"/>
              </w:rPr>
              <w:t>生产商名称</w:t>
            </w:r>
          </w:p>
        </w:tc>
        <w:tc>
          <w:tcPr>
            <w:tcW w:w="2687" w:type="dxa"/>
          </w:tcPr>
          <w:p>
            <w:pPr>
              <w:jc w:val="center"/>
              <w:rPr>
                <w:szCs w:val="21"/>
              </w:rPr>
            </w:pPr>
            <w:r>
              <w:rPr>
                <w:rFonts w:hint="eastAsia"/>
                <w:szCs w:val="21"/>
              </w:rPr>
              <w:t>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1" w:hRule="atLeast"/>
        </w:trPr>
        <w:tc>
          <w:tcPr>
            <w:tcW w:w="1276" w:type="dxa"/>
          </w:tcPr>
          <w:p>
            <w:pPr>
              <w:jc w:val="center"/>
              <w:rPr>
                <w:szCs w:val="21"/>
              </w:rPr>
            </w:pPr>
          </w:p>
        </w:tc>
        <w:tc>
          <w:tcPr>
            <w:tcW w:w="1819" w:type="dxa"/>
          </w:tcPr>
          <w:p>
            <w:pPr>
              <w:jc w:val="center"/>
              <w:rPr>
                <w:szCs w:val="21"/>
              </w:rPr>
            </w:pPr>
          </w:p>
        </w:tc>
        <w:tc>
          <w:tcPr>
            <w:tcW w:w="1682" w:type="dxa"/>
          </w:tcPr>
          <w:p>
            <w:pPr>
              <w:jc w:val="center"/>
              <w:rPr>
                <w:szCs w:val="21"/>
              </w:rPr>
            </w:pPr>
          </w:p>
        </w:tc>
        <w:tc>
          <w:tcPr>
            <w:tcW w:w="1743" w:type="dxa"/>
            <w:gridSpan w:val="2"/>
          </w:tcPr>
          <w:p>
            <w:pPr>
              <w:jc w:val="center"/>
              <w:rPr>
                <w:szCs w:val="21"/>
              </w:rPr>
            </w:pPr>
          </w:p>
        </w:tc>
        <w:tc>
          <w:tcPr>
            <w:tcW w:w="2687" w:type="dxa"/>
          </w:tcPr>
          <w:p>
            <w:pPr>
              <w:jc w:val="cente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6" w:hRule="atLeast"/>
        </w:trPr>
        <w:tc>
          <w:tcPr>
            <w:tcW w:w="3095" w:type="dxa"/>
            <w:gridSpan w:val="2"/>
          </w:tcPr>
          <w:p>
            <w:pPr>
              <w:jc w:val="center"/>
              <w:rPr>
                <w:szCs w:val="21"/>
              </w:rPr>
            </w:pPr>
            <w:r>
              <w:rPr>
                <w:rFonts w:hint="eastAsia"/>
                <w:szCs w:val="21"/>
              </w:rPr>
              <w:t>投标总价（人民币/元）</w:t>
            </w:r>
          </w:p>
        </w:tc>
        <w:tc>
          <w:tcPr>
            <w:tcW w:w="3425" w:type="dxa"/>
            <w:gridSpan w:val="3"/>
          </w:tcPr>
          <w:p>
            <w:pPr>
              <w:jc w:val="center"/>
              <w:rPr>
                <w:szCs w:val="21"/>
              </w:rPr>
            </w:pPr>
            <w:r>
              <w:rPr>
                <w:rFonts w:hint="eastAsia"/>
                <w:szCs w:val="21"/>
              </w:rPr>
              <w:t>交货日期</w:t>
            </w:r>
          </w:p>
        </w:tc>
        <w:tc>
          <w:tcPr>
            <w:tcW w:w="2687" w:type="dxa"/>
          </w:tcPr>
          <w:p>
            <w:pPr>
              <w:jc w:val="center"/>
              <w:rPr>
                <w:szCs w:val="21"/>
              </w:rPr>
            </w:pPr>
            <w:r>
              <w:rPr>
                <w:rFonts w:hint="eastAsia"/>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2" w:hRule="atLeast"/>
        </w:trPr>
        <w:tc>
          <w:tcPr>
            <w:tcW w:w="3095" w:type="dxa"/>
            <w:gridSpan w:val="2"/>
          </w:tcPr>
          <w:p>
            <w:pPr>
              <w:jc w:val="center"/>
              <w:rPr>
                <w:sz w:val="32"/>
                <w:szCs w:val="32"/>
              </w:rPr>
            </w:pPr>
          </w:p>
        </w:tc>
        <w:tc>
          <w:tcPr>
            <w:tcW w:w="3425" w:type="dxa"/>
            <w:gridSpan w:val="3"/>
          </w:tcPr>
          <w:p>
            <w:pPr>
              <w:jc w:val="center"/>
              <w:rPr>
                <w:sz w:val="32"/>
                <w:szCs w:val="32"/>
              </w:rPr>
            </w:pPr>
          </w:p>
        </w:tc>
        <w:tc>
          <w:tcPr>
            <w:tcW w:w="2687" w:type="dxa"/>
          </w:tcPr>
          <w:p>
            <w:pPr>
              <w:jc w:val="center"/>
              <w:rPr>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2" w:hRule="atLeast"/>
        </w:trPr>
        <w:tc>
          <w:tcPr>
            <w:tcW w:w="3095" w:type="dxa"/>
            <w:gridSpan w:val="2"/>
          </w:tcPr>
          <w:p>
            <w:pPr>
              <w:jc w:val="center"/>
              <w:rPr>
                <w:rFonts w:hint="eastAsia" w:ascii="Times New Roman" w:hAnsi="Times New Roman" w:cs="Times New Roman"/>
                <w:szCs w:val="21"/>
                <w:lang w:eastAsia="zh-CN"/>
              </w:rPr>
            </w:pPr>
            <w:r>
              <w:rPr>
                <w:rFonts w:hint="eastAsia" w:ascii="Times New Roman" w:hAnsi="Times New Roman" w:cs="Times New Roman"/>
                <w:szCs w:val="21"/>
                <w:lang w:eastAsia="zh-CN"/>
              </w:rPr>
              <w:t>是否有专机专用配套试剂、耗材</w:t>
            </w:r>
          </w:p>
        </w:tc>
        <w:tc>
          <w:tcPr>
            <w:tcW w:w="6112" w:type="dxa"/>
            <w:gridSpan w:val="4"/>
          </w:tcPr>
          <w:p>
            <w:pPr>
              <w:jc w:val="center"/>
              <w:rPr>
                <w:rFonts w:hint="eastAsia" w:ascii="Times New Roman" w:hAnsi="Times New Roman" w:cs="Times New Roman"/>
                <w:szCs w:val="21"/>
                <w:lang w:eastAsia="zh-CN"/>
              </w:rPr>
            </w:pPr>
            <w:r>
              <w:rPr>
                <w:rFonts w:hint="eastAsia" w:ascii="Times New Roman" w:hAnsi="Times New Roman" w:cs="Times New Roman"/>
                <w:color w:val="FF0000"/>
                <w:szCs w:val="21"/>
                <w:lang w:eastAsia="zh-CN"/>
              </w:rPr>
              <w:t>（有，填下一栏，无则填无）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5" w:hRule="atLeast"/>
        </w:trPr>
        <w:tc>
          <w:tcPr>
            <w:tcW w:w="3095" w:type="dxa"/>
            <w:gridSpan w:val="2"/>
            <w:vMerge w:val="restart"/>
          </w:tcPr>
          <w:p>
            <w:pPr>
              <w:jc w:val="center"/>
              <w:rPr>
                <w:rFonts w:hint="eastAsia" w:ascii="Times New Roman" w:hAnsi="Times New Roman" w:cs="Times New Roman"/>
                <w:szCs w:val="21"/>
              </w:rPr>
            </w:pPr>
            <w:r>
              <w:rPr>
                <w:rFonts w:hint="eastAsia" w:ascii="Times New Roman" w:hAnsi="Times New Roman" w:cs="Times New Roman"/>
                <w:szCs w:val="21"/>
                <w:lang w:eastAsia="zh-CN"/>
              </w:rPr>
              <w:t>专机专用配套试剂、耗材价格</w:t>
            </w:r>
          </w:p>
        </w:tc>
        <w:tc>
          <w:tcPr>
            <w:tcW w:w="3056" w:type="dxa"/>
            <w:gridSpan w:val="2"/>
          </w:tcPr>
          <w:p>
            <w:pPr>
              <w:jc w:val="center"/>
              <w:rPr>
                <w:rFonts w:hint="eastAsia" w:ascii="Times New Roman" w:hAnsi="Times New Roman" w:cs="Times New Roman"/>
                <w:szCs w:val="21"/>
                <w:lang w:eastAsia="zh-CN"/>
              </w:rPr>
            </w:pPr>
            <w:r>
              <w:rPr>
                <w:rFonts w:hint="eastAsia" w:ascii="Times New Roman" w:hAnsi="Times New Roman" w:cs="Times New Roman"/>
                <w:szCs w:val="21"/>
                <w:lang w:eastAsia="zh-CN"/>
              </w:rPr>
              <w:t>规格</w:t>
            </w:r>
          </w:p>
        </w:tc>
        <w:tc>
          <w:tcPr>
            <w:tcW w:w="3056" w:type="dxa"/>
            <w:gridSpan w:val="2"/>
          </w:tcPr>
          <w:p>
            <w:pPr>
              <w:jc w:val="center"/>
              <w:rPr>
                <w:rFonts w:hint="eastAsia" w:ascii="Times New Roman" w:hAnsi="Times New Roman" w:cs="Times New Roman"/>
                <w:szCs w:val="21"/>
                <w:lang w:eastAsia="zh-CN"/>
              </w:rPr>
            </w:pPr>
            <w:r>
              <w:rPr>
                <w:rFonts w:hint="eastAsia" w:ascii="Times New Roman" w:hAnsi="Times New Roman" w:cs="Times New Roman"/>
                <w:szCs w:val="21"/>
                <w:lang w:eastAsia="zh-CN"/>
              </w:rPr>
              <w:t>单价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15" w:hRule="atLeast"/>
        </w:trPr>
        <w:tc>
          <w:tcPr>
            <w:tcW w:w="3095" w:type="dxa"/>
            <w:gridSpan w:val="2"/>
            <w:vMerge w:val="continue"/>
          </w:tcPr>
          <w:p>
            <w:pPr>
              <w:jc w:val="center"/>
              <w:rPr>
                <w:rFonts w:hint="eastAsia" w:ascii="Times New Roman" w:hAnsi="Times New Roman" w:cs="Times New Roman"/>
                <w:szCs w:val="21"/>
              </w:rPr>
            </w:pPr>
          </w:p>
        </w:tc>
        <w:tc>
          <w:tcPr>
            <w:tcW w:w="3056" w:type="dxa"/>
            <w:gridSpan w:val="2"/>
          </w:tcPr>
          <w:p>
            <w:pPr>
              <w:jc w:val="center"/>
              <w:rPr>
                <w:rFonts w:hint="eastAsia" w:ascii="Times New Roman" w:hAnsi="Times New Roman" w:cs="Times New Roman"/>
                <w:szCs w:val="21"/>
              </w:rPr>
            </w:pPr>
          </w:p>
        </w:tc>
        <w:tc>
          <w:tcPr>
            <w:tcW w:w="3056" w:type="dxa"/>
            <w:gridSpan w:val="2"/>
          </w:tcPr>
          <w:p>
            <w:pPr>
              <w:jc w:val="center"/>
              <w:rPr>
                <w:rFonts w:hint="eastAsia" w:ascii="Times New Roman" w:hAnsi="Times New Roman" w:cs="Times New Roman"/>
                <w:szCs w:val="21"/>
              </w:rPr>
            </w:pPr>
          </w:p>
        </w:tc>
      </w:tr>
    </w:tbl>
    <w:p>
      <w:pPr>
        <w:jc w:val="center"/>
        <w:rPr>
          <w:sz w:val="32"/>
          <w:szCs w:val="32"/>
        </w:rPr>
      </w:pPr>
    </w:p>
    <w:p>
      <w:pPr>
        <w:spacing w:line="300" w:lineRule="auto"/>
        <w:rPr>
          <w:rFonts w:asciiTheme="minorEastAsia" w:hAnsiTheme="minorEastAsia" w:eastAsiaTheme="minorEastAsia"/>
          <w:snapToGrid w:val="0"/>
          <w:kern w:val="0"/>
          <w:sz w:val="24"/>
          <w:szCs w:val="24"/>
        </w:rPr>
      </w:pPr>
    </w:p>
    <w:p>
      <w:pPr>
        <w:spacing w:line="360" w:lineRule="auto"/>
        <w:rPr>
          <w:rFonts w:asciiTheme="minorEastAsia" w:hAnsiTheme="minorEastAsia" w:eastAsiaTheme="minorEastAsia"/>
          <w:snapToGrid w:val="0"/>
          <w:kern w:val="0"/>
          <w:sz w:val="24"/>
          <w:szCs w:val="24"/>
        </w:rPr>
      </w:pPr>
      <w:r>
        <w:rPr>
          <w:rFonts w:hint="eastAsia" w:asciiTheme="minorEastAsia" w:hAnsiTheme="minorEastAsia" w:eastAsiaTheme="minorEastAsia"/>
          <w:snapToGrid w:val="0"/>
          <w:kern w:val="0"/>
          <w:sz w:val="24"/>
          <w:szCs w:val="24"/>
        </w:rPr>
        <w:t>注：</w:t>
      </w:r>
    </w:p>
    <w:p>
      <w:pPr>
        <w:spacing w:line="360" w:lineRule="auto"/>
        <w:ind w:firstLine="480" w:firstLineChars="200"/>
        <w:rPr>
          <w:rFonts w:asciiTheme="minorEastAsia" w:hAnsiTheme="minorEastAsia" w:eastAsiaTheme="minorEastAsia"/>
          <w:snapToGrid w:val="0"/>
          <w:kern w:val="0"/>
          <w:sz w:val="24"/>
          <w:szCs w:val="24"/>
        </w:rPr>
      </w:pPr>
      <w:r>
        <w:rPr>
          <w:rFonts w:hint="eastAsia" w:asciiTheme="minorEastAsia" w:hAnsiTheme="minorEastAsia" w:eastAsiaTheme="minorEastAsia"/>
          <w:snapToGrid w:val="0"/>
          <w:kern w:val="0"/>
          <w:sz w:val="24"/>
          <w:szCs w:val="24"/>
        </w:rPr>
        <w:t>1、价格应按“采购文件”中规定的货币单位填写。</w:t>
      </w:r>
    </w:p>
    <w:p>
      <w:pPr>
        <w:spacing w:line="360" w:lineRule="auto"/>
        <w:rPr>
          <w:rFonts w:asciiTheme="minorEastAsia" w:hAnsiTheme="minorEastAsia" w:eastAsiaTheme="minorEastAsia"/>
          <w:snapToGrid w:val="0"/>
          <w:kern w:val="0"/>
          <w:sz w:val="24"/>
          <w:szCs w:val="24"/>
        </w:rPr>
      </w:pPr>
      <w:r>
        <w:rPr>
          <w:rFonts w:hint="eastAsia" w:asciiTheme="minorEastAsia" w:hAnsiTheme="minorEastAsia" w:eastAsiaTheme="minorEastAsia"/>
          <w:snapToGrid w:val="0"/>
          <w:kern w:val="0"/>
          <w:sz w:val="24"/>
          <w:szCs w:val="24"/>
        </w:rPr>
        <w:t xml:space="preserve">    2、投标人如果需要对报价或其它内容加以说明，可在备注栏填写。</w:t>
      </w:r>
    </w:p>
    <w:p>
      <w:pPr>
        <w:spacing w:line="360" w:lineRule="auto"/>
        <w:ind w:firstLine="420"/>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投标人名称（公章）：</w:t>
      </w:r>
      <w:r>
        <w:rPr>
          <w:rFonts w:hint="eastAsia" w:asciiTheme="minorEastAsia" w:hAnsiTheme="minorEastAsia" w:eastAsiaTheme="minorEastAsia"/>
          <w:sz w:val="24"/>
          <w:szCs w:val="24"/>
          <w:u w:val="single"/>
        </w:rPr>
        <w:t>　　　　　　           　</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投标人代表（签字)：</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xml:space="preserve">      </w:t>
      </w: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日   期：</w:t>
      </w:r>
      <w:r>
        <w:rPr>
          <w:rFonts w:hint="eastAsia" w:asciiTheme="minorEastAsia" w:hAnsiTheme="minorEastAsia" w:eastAsiaTheme="minorEastAsia"/>
          <w:sz w:val="24"/>
          <w:szCs w:val="24"/>
          <w:u w:val="single"/>
        </w:rPr>
        <w:t xml:space="preserve">                                   </w:t>
      </w: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sz w:val="24"/>
          <w:szCs w:val="24"/>
        </w:rPr>
      </w:pPr>
      <w:bookmarkStart w:id="2" w:name="_Toc201719118"/>
      <w:bookmarkStart w:id="3" w:name="_Toc201401658"/>
      <w:bookmarkStart w:id="4" w:name="_Toc201997946"/>
      <w:bookmarkStart w:id="5" w:name="_Toc201742861"/>
      <w:bookmarkStart w:id="6" w:name="_Toc201743116"/>
    </w:p>
    <w:p>
      <w:pPr>
        <w:spacing w:line="360" w:lineRule="auto"/>
        <w:ind w:right="-517" w:rightChars="-246" w:firstLine="3132" w:firstLineChars="1300"/>
        <w:rPr>
          <w:rFonts w:asciiTheme="minorEastAsia" w:hAnsiTheme="minorEastAsia" w:eastAsiaTheme="minorEastAsia"/>
          <w:b/>
          <w:snapToGrid w:val="0"/>
          <w:kern w:val="0"/>
          <w:sz w:val="24"/>
          <w:szCs w:val="24"/>
        </w:rPr>
      </w:pPr>
      <w:r>
        <w:rPr>
          <w:rFonts w:hint="eastAsia" w:asciiTheme="minorEastAsia" w:hAnsiTheme="minorEastAsia" w:eastAsiaTheme="minorEastAsia"/>
          <w:b/>
          <w:sz w:val="24"/>
          <w:szCs w:val="24"/>
        </w:rPr>
        <w:t>二、法定代表人授权委托书</w:t>
      </w:r>
    </w:p>
    <w:p>
      <w:pPr>
        <w:pStyle w:val="8"/>
        <w:spacing w:line="400" w:lineRule="exact"/>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本授权书声明：</w:t>
      </w:r>
    </w:p>
    <w:p>
      <w:pPr>
        <w:spacing w:line="360" w:lineRule="auto"/>
        <w:ind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注册于</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（公司地址）</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（公司名称）</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（法定代表人姓名、职务）代表本公司授权</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（被授权人的姓名、职务）为本公司的合法代理人，以本公司名义负责处理在</w:t>
      </w:r>
      <w:r>
        <w:rPr>
          <w:rFonts w:hint="eastAsia" w:asciiTheme="minorEastAsia" w:hAnsiTheme="minorEastAsia" w:eastAsiaTheme="minorEastAsia"/>
          <w:bCs/>
          <w:sz w:val="24"/>
          <w:szCs w:val="24"/>
          <w:lang w:eastAsia="zh-CN"/>
        </w:rPr>
        <w:t>深圳市儿童医院医疗设备</w:t>
      </w:r>
      <w:r>
        <w:rPr>
          <w:rFonts w:hint="eastAsia" w:asciiTheme="minorEastAsia" w:hAnsiTheme="minorEastAsia" w:eastAsiaTheme="minorEastAsia"/>
          <w:bCs/>
          <w:sz w:val="24"/>
          <w:szCs w:val="24"/>
        </w:rPr>
        <w:t>采购活动中相关谈判采购事务。</w:t>
      </w:r>
    </w:p>
    <w:p>
      <w:pPr>
        <w:spacing w:line="500" w:lineRule="exact"/>
        <w:ind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本授权书于</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年</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月</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日签字生效，特此声明。</w:t>
      </w:r>
    </w:p>
    <w:p>
      <w:pPr>
        <w:spacing w:line="500" w:lineRule="exact"/>
        <w:ind w:firstLine="480" w:firstLineChars="200"/>
        <w:jc w:val="left"/>
        <w:rPr>
          <w:rFonts w:asciiTheme="minorEastAsia" w:hAnsiTheme="minorEastAsia" w:eastAsiaTheme="minorEastAsia"/>
          <w:bCs/>
          <w:sz w:val="24"/>
          <w:szCs w:val="24"/>
        </w:rPr>
      </w:pPr>
    </w:p>
    <w:p>
      <w:pPr>
        <w:spacing w:line="360" w:lineRule="auto"/>
        <w:ind w:firstLine="480" w:firstLineChars="200"/>
        <w:rPr>
          <w:rFonts w:asciiTheme="minorEastAsia" w:hAnsiTheme="minorEastAsia" w:eastAsiaTheme="minorEastAsia"/>
          <w:bCs/>
          <w:sz w:val="24"/>
          <w:szCs w:val="24"/>
          <w:u w:val="single"/>
        </w:rPr>
      </w:pPr>
      <w:r>
        <w:rPr>
          <w:rFonts w:hint="eastAsia" w:asciiTheme="minorEastAsia" w:hAnsiTheme="minorEastAsia" w:eastAsiaTheme="minorEastAsia"/>
          <w:bCs/>
          <w:sz w:val="24"/>
          <w:szCs w:val="24"/>
        </w:rPr>
        <w:t>供应商法定代表人签字（盖章）</w:t>
      </w:r>
      <w:r>
        <w:rPr>
          <w:rFonts w:hint="eastAsia" w:asciiTheme="minorEastAsia" w:hAnsiTheme="minorEastAsia" w:eastAsiaTheme="minorEastAsia"/>
          <w:bCs/>
          <w:snapToGrid w:val="0"/>
          <w:kern w:val="0"/>
          <w:sz w:val="24"/>
          <w:szCs w:val="24"/>
        </w:rPr>
        <w:t>：</w:t>
      </w:r>
      <w:r>
        <w:rPr>
          <w:rFonts w:hint="eastAsia" w:asciiTheme="minorEastAsia" w:hAnsiTheme="minorEastAsia" w:eastAsiaTheme="minorEastAsia"/>
          <w:bCs/>
          <w:sz w:val="24"/>
          <w:szCs w:val="24"/>
          <w:u w:val="single"/>
        </w:rPr>
        <w:t xml:space="preserve">                                </w:t>
      </w:r>
    </w:p>
    <w:p>
      <w:pPr>
        <w:spacing w:line="360" w:lineRule="auto"/>
        <w:ind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被授权人签字（盖章）</w:t>
      </w:r>
      <w:r>
        <w:rPr>
          <w:rFonts w:hint="eastAsia" w:asciiTheme="minorEastAsia" w:hAnsiTheme="minorEastAsia" w:eastAsiaTheme="minorEastAsia"/>
          <w:bCs/>
          <w:snapToGrid w:val="0"/>
          <w:kern w:val="0"/>
          <w:sz w:val="24"/>
          <w:szCs w:val="24"/>
        </w:rPr>
        <w:t>：</w:t>
      </w:r>
      <w:r>
        <w:rPr>
          <w:rFonts w:hint="eastAsia" w:asciiTheme="minorEastAsia" w:hAnsiTheme="minorEastAsia" w:eastAsiaTheme="minorEastAsia"/>
          <w:bCs/>
          <w:sz w:val="24"/>
          <w:szCs w:val="24"/>
          <w:u w:val="single"/>
        </w:rPr>
        <w:t xml:space="preserve">                                        </w:t>
      </w:r>
    </w:p>
    <w:p>
      <w:pPr>
        <w:spacing w:line="360" w:lineRule="auto"/>
        <w:ind w:firstLine="480" w:firstLineChars="200"/>
        <w:rPr>
          <w:rFonts w:asciiTheme="minorEastAsia" w:hAnsiTheme="minorEastAsia" w:eastAsiaTheme="minorEastAsia"/>
          <w:bCs/>
          <w:sz w:val="24"/>
          <w:szCs w:val="24"/>
          <w:u w:val="single"/>
        </w:rPr>
      </w:pPr>
      <w:r>
        <w:rPr>
          <w:rFonts w:hint="eastAsia" w:asciiTheme="minorEastAsia" w:hAnsiTheme="minorEastAsia" w:eastAsiaTheme="minorEastAsia"/>
          <w:bCs/>
          <w:sz w:val="24"/>
          <w:szCs w:val="24"/>
        </w:rPr>
        <w:t>企业公章：</w:t>
      </w:r>
      <w:r>
        <w:rPr>
          <w:rFonts w:hint="eastAsia" w:asciiTheme="minorEastAsia" w:hAnsiTheme="minorEastAsia" w:eastAsiaTheme="minorEastAsia"/>
          <w:bCs/>
          <w:sz w:val="24"/>
          <w:szCs w:val="24"/>
          <w:u w:val="single"/>
        </w:rPr>
        <w:t xml:space="preserve">                                              </w:t>
      </w:r>
    </w:p>
    <w:p>
      <w:pPr>
        <w:spacing w:line="500" w:lineRule="exact"/>
        <w:ind w:firstLine="555"/>
        <w:jc w:val="left"/>
        <w:rPr>
          <w:rFonts w:asciiTheme="minorEastAsia" w:hAnsiTheme="minorEastAsia" w:eastAsiaTheme="minorEastAsia"/>
          <w:bCs/>
          <w:sz w:val="24"/>
          <w:szCs w:val="24"/>
        </w:rPr>
      </w:pPr>
      <w:r>
        <w:rPr>
          <w:rFonts w:asciiTheme="minorEastAsia" w:hAnsiTheme="minorEastAsia" w:eastAsiaTheme="minorEastAsia"/>
          <w:sz w:val="24"/>
          <w:szCs w:val="24"/>
        </w:rPr>
        <mc:AlternateContent>
          <mc:Choice Requires="wps">
            <w:drawing>
              <wp:anchor distT="0" distB="0" distL="114300" distR="114300" simplePos="0" relativeHeight="251660288" behindDoc="0" locked="0" layoutInCell="1" allowOverlap="1">
                <wp:simplePos x="0" y="0"/>
                <wp:positionH relativeFrom="column">
                  <wp:posOffset>3133725</wp:posOffset>
                </wp:positionH>
                <wp:positionV relativeFrom="paragraph">
                  <wp:posOffset>81280</wp:posOffset>
                </wp:positionV>
                <wp:extent cx="2257425" cy="1722120"/>
                <wp:effectExtent l="8255" t="11430" r="10795" b="9525"/>
                <wp:wrapNone/>
                <wp:docPr id="4" name="Rectangle 2"/>
                <wp:cNvGraphicFramePr/>
                <a:graphic xmlns:a="http://schemas.openxmlformats.org/drawingml/2006/main">
                  <a:graphicData uri="http://schemas.microsoft.com/office/word/2010/wordprocessingShape">
                    <wps:wsp>
                      <wps:cNvSpPr>
                        <a:spLocks noChangeArrowheads="1"/>
                      </wps:cNvSpPr>
                      <wps:spPr bwMode="auto">
                        <a:xfrm>
                          <a:off x="0" y="0"/>
                          <a:ext cx="2257425" cy="1722120"/>
                        </a:xfrm>
                        <a:prstGeom prst="rect">
                          <a:avLst/>
                        </a:prstGeom>
                        <a:solidFill>
                          <a:srgbClr val="FFFFFF"/>
                        </a:solidFill>
                        <a:ln w="9525">
                          <a:solidFill>
                            <a:srgbClr val="000000"/>
                          </a:solidFill>
                          <a:miter lim="800000"/>
                        </a:ln>
                      </wps:spPr>
                      <wps:txb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27"/>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2" o:spid="_x0000_s1026" o:spt="1" style="position:absolute;left:0pt;margin-left:246.75pt;margin-top:6.4pt;height:135.6pt;width:177.75pt;z-index:251660288;mso-width-relative:page;mso-height-relative:page;" fillcolor="#FFFFFF" filled="t" stroked="t" coordsize="21600,21600" o:gfxdata="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hkAd+1wAAAAoBAAAPAAAAAAAAAAEAIAAAACIAAABkcnMvZG93bnJldi54bWxQSwECFAAU&#10;AAAACACHTuJA6kD+vSsCAAB+BAAADgAAAAAAAAABACAAAAAmAQAAZHJzL2Uyb0RvYy54bWxQSwUG&#10;AAAAAAYABgBZAQAAwwU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27"/>
                      </w:pPr>
                      <w:r>
                        <w:rPr>
                          <w:rFonts w:hint="eastAsia"/>
                        </w:rPr>
                        <w:t>（请加盖骑缝章）</w:t>
                      </w:r>
                    </w:p>
                    <w:p>
                      <w:pPr>
                        <w:jc w:val="center"/>
                        <w:rPr>
                          <w:rFonts w:eastAsia="华文中宋"/>
                          <w:sz w:val="28"/>
                        </w:rPr>
                      </w:pPr>
                    </w:p>
                  </w:txbxContent>
                </v:textbox>
              </v:rect>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661312" behindDoc="0" locked="0" layoutInCell="1" allowOverlap="1">
                <wp:simplePos x="0" y="0"/>
                <wp:positionH relativeFrom="column">
                  <wp:posOffset>3133725</wp:posOffset>
                </wp:positionH>
                <wp:positionV relativeFrom="paragraph">
                  <wp:posOffset>1957070</wp:posOffset>
                </wp:positionV>
                <wp:extent cx="2257425" cy="1722120"/>
                <wp:effectExtent l="8255" t="10795" r="10795" b="10160"/>
                <wp:wrapNone/>
                <wp:docPr id="3" name="Rectangle 3"/>
                <wp:cNvGraphicFramePr/>
                <a:graphic xmlns:a="http://schemas.openxmlformats.org/drawingml/2006/main">
                  <a:graphicData uri="http://schemas.microsoft.com/office/word/2010/wordprocessingShape">
                    <wps:wsp>
                      <wps:cNvSpPr>
                        <a:spLocks noChangeArrowheads="1"/>
                      </wps:cNvSpPr>
                      <wps:spPr bwMode="auto">
                        <a:xfrm>
                          <a:off x="0" y="0"/>
                          <a:ext cx="2257425" cy="1722120"/>
                        </a:xfrm>
                        <a:prstGeom prst="rect">
                          <a:avLst/>
                        </a:prstGeom>
                        <a:solidFill>
                          <a:srgbClr val="FFFFFF"/>
                        </a:solidFill>
                        <a:ln w="9525">
                          <a:solidFill>
                            <a:srgbClr val="000000"/>
                          </a:solidFill>
                          <a:miter lim="800000"/>
                        </a:ln>
                      </wps:spPr>
                      <wps:txb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27"/>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3" o:spid="_x0000_s1026" o:spt="1" style="position:absolute;left:0pt;margin-left:246.75pt;margin-top:154.1pt;height:135.6pt;width:177.75pt;z-index:251661312;mso-width-relative:page;mso-height-relative:page;" fillcolor="#FFFFFF" filled="t" stroked="t" coordsize="21600,21600" o:gfxdata="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VwtRMdoAAAALAQAADwAAAAAAAAABACAAAAAiAAAAZHJzL2Rvd25yZXYueG1sUEsB&#10;AhQAFAAAAAgAh07iQPYH8DwsAgAAfgQAAA4AAAAAAAAAAQAgAAAAKQEAAGRycy9lMm9Eb2MueG1s&#10;UEsFBgAAAAAGAAYAWQEAAMcFA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27"/>
                      </w:pPr>
                      <w:r>
                        <w:rPr>
                          <w:rFonts w:hint="eastAsia"/>
                        </w:rPr>
                        <w:t>（请加盖骑缝章）</w:t>
                      </w:r>
                    </w:p>
                    <w:p>
                      <w:pPr>
                        <w:jc w:val="center"/>
                        <w:rPr>
                          <w:rFonts w:eastAsia="华文中宋"/>
                          <w:sz w:val="28"/>
                        </w:rPr>
                      </w:pPr>
                    </w:p>
                  </w:txbxContent>
                </v:textbox>
              </v:rect>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662336" behindDoc="0" locked="0" layoutInCell="1" allowOverlap="1">
                <wp:simplePos x="0" y="0"/>
                <wp:positionH relativeFrom="column">
                  <wp:posOffset>626110</wp:posOffset>
                </wp:positionH>
                <wp:positionV relativeFrom="paragraph">
                  <wp:posOffset>1957070</wp:posOffset>
                </wp:positionV>
                <wp:extent cx="2326640" cy="1722120"/>
                <wp:effectExtent l="5715" t="10795" r="10795" b="10160"/>
                <wp:wrapNone/>
                <wp:docPr id="2" name="Rectangle 4"/>
                <wp:cNvGraphicFramePr/>
                <a:graphic xmlns:a="http://schemas.openxmlformats.org/drawingml/2006/main">
                  <a:graphicData uri="http://schemas.microsoft.com/office/word/2010/wordprocessingShape">
                    <wps:wsp>
                      <wps:cNvSpPr>
                        <a:spLocks noChangeArrowheads="1"/>
                      </wps:cNvSpPr>
                      <wps:spPr bwMode="auto">
                        <a:xfrm>
                          <a:off x="0" y="0"/>
                          <a:ext cx="2326640" cy="1722120"/>
                        </a:xfrm>
                        <a:prstGeom prst="rect">
                          <a:avLst/>
                        </a:prstGeom>
                        <a:solidFill>
                          <a:srgbClr val="FFFFFF"/>
                        </a:solidFill>
                        <a:ln w="9525">
                          <a:solidFill>
                            <a:srgbClr val="000000"/>
                          </a:solidFill>
                          <a:miter lim="800000"/>
                        </a:ln>
                      </wps:spPr>
                      <wps:txb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27"/>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4" o:spid="_x0000_s1026" o:spt="1" style="position:absolute;left:0pt;margin-left:49.3pt;margin-top:154.1pt;height:135.6pt;width:183.2pt;z-index:251662336;mso-width-relative:page;mso-height-relative:page;" fillcolor="#FFFFFF" filled="t" stroked="t" coordsize="21600,21600" o:gfxdata="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mehgR2QAAAAoBAAAPAAAAAAAAAAEAIAAAACIAAABkcnMvZG93bnJldi54bWxQ&#10;SwECFAAUAAAACACHTuJATsg6iy8CAAB+BAAADgAAAAAAAAABACAAAAAoAQAAZHJzL2Uyb0RvYy54&#10;bWxQSwUGAAAAAAYABgBZAQAAyQU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27"/>
                      </w:pPr>
                      <w:r>
                        <w:rPr>
                          <w:rFonts w:hint="eastAsia"/>
                        </w:rPr>
                        <w:t>（请加盖骑缝章）</w:t>
                      </w:r>
                    </w:p>
                    <w:p>
                      <w:pPr>
                        <w:jc w:val="center"/>
                        <w:rPr>
                          <w:rFonts w:eastAsia="华文中宋"/>
                          <w:sz w:val="28"/>
                        </w:rPr>
                      </w:pPr>
                    </w:p>
                  </w:txbxContent>
                </v:textbox>
              </v:rect>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663360" behindDoc="0" locked="0" layoutInCell="1" allowOverlap="1">
                <wp:simplePos x="0" y="0"/>
                <wp:positionH relativeFrom="column">
                  <wp:posOffset>626110</wp:posOffset>
                </wp:positionH>
                <wp:positionV relativeFrom="paragraph">
                  <wp:posOffset>81280</wp:posOffset>
                </wp:positionV>
                <wp:extent cx="2326640" cy="1722120"/>
                <wp:effectExtent l="5715" t="11430" r="10795" b="9525"/>
                <wp:wrapNone/>
                <wp:docPr id="1" name="Rectangle 5"/>
                <wp:cNvGraphicFramePr/>
                <a:graphic xmlns:a="http://schemas.openxmlformats.org/drawingml/2006/main">
                  <a:graphicData uri="http://schemas.microsoft.com/office/word/2010/wordprocessingShape">
                    <wps:wsp>
                      <wps:cNvSpPr>
                        <a:spLocks noChangeArrowheads="1"/>
                      </wps:cNvSpPr>
                      <wps:spPr bwMode="auto">
                        <a:xfrm>
                          <a:off x="0" y="0"/>
                          <a:ext cx="2326640" cy="1722120"/>
                        </a:xfrm>
                        <a:prstGeom prst="rect">
                          <a:avLst/>
                        </a:prstGeom>
                        <a:solidFill>
                          <a:srgbClr val="FFFFFF"/>
                        </a:solidFill>
                        <a:ln w="9525">
                          <a:solidFill>
                            <a:srgbClr val="000000"/>
                          </a:solidFill>
                          <a:miter lim="800000"/>
                        </a:ln>
                      </wps:spPr>
                      <wps:txb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27"/>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5" o:spid="_x0000_s1026" o:spt="1" style="position:absolute;left:0pt;margin-left:49.3pt;margin-top:6.4pt;height:135.6pt;width:183.2pt;z-index:251663360;mso-width-relative:page;mso-height-relative:page;" fillcolor="#FFFFFF" filled="t" stroked="t" coordsize="21600,21600" o:gfxdata="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DqqikdcAAAAJAQAADwAAAAAAAAABACAAAAAiAAAAZHJzL2Rvd25yZXYueG1sUEsB&#10;AhQAFAAAAAgAh07iQF7y7PAvAgAAfgQAAA4AAAAAAAAAAQAgAAAAJgEAAGRycy9lMm9Eb2MueG1s&#10;UEsFBgAAAAAGAAYAWQEAAMcFA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27"/>
                      </w:pPr>
                      <w:r>
                        <w:rPr>
                          <w:rFonts w:hint="eastAsia"/>
                        </w:rPr>
                        <w:t>（请加盖骑缝章）</w:t>
                      </w:r>
                    </w:p>
                    <w:p>
                      <w:pPr>
                        <w:jc w:val="center"/>
                        <w:rPr>
                          <w:rFonts w:eastAsia="华文中宋"/>
                          <w:sz w:val="28"/>
                        </w:rPr>
                      </w:pPr>
                    </w:p>
                  </w:txbxContent>
                </v:textbox>
              </v:rect>
            </w:pict>
          </mc:Fallback>
        </mc:AlternateContent>
      </w:r>
    </w:p>
    <w:p>
      <w:pPr>
        <w:spacing w:line="500" w:lineRule="exact"/>
        <w:ind w:firstLine="555"/>
        <w:jc w:val="left"/>
        <w:rPr>
          <w:rFonts w:asciiTheme="minorEastAsia" w:hAnsiTheme="minorEastAsia" w:eastAsiaTheme="minorEastAsia"/>
          <w:bCs/>
          <w:sz w:val="24"/>
          <w:szCs w:val="24"/>
          <w:u w:val="single"/>
        </w:rPr>
      </w:pPr>
    </w:p>
    <w:p>
      <w:pPr>
        <w:spacing w:line="500" w:lineRule="exact"/>
        <w:ind w:firstLine="555"/>
        <w:jc w:val="left"/>
        <w:rPr>
          <w:rFonts w:asciiTheme="minorEastAsia" w:hAnsiTheme="minorEastAsia" w:eastAsiaTheme="minorEastAsia"/>
          <w:bCs/>
          <w:sz w:val="24"/>
          <w:szCs w:val="24"/>
          <w:u w:val="single"/>
        </w:rPr>
      </w:pPr>
    </w:p>
    <w:p>
      <w:pPr>
        <w:spacing w:line="500" w:lineRule="exact"/>
        <w:ind w:firstLine="555"/>
        <w:jc w:val="left"/>
        <w:rPr>
          <w:rFonts w:asciiTheme="minorEastAsia" w:hAnsiTheme="minorEastAsia" w:eastAsiaTheme="minorEastAsia"/>
          <w:bCs/>
          <w:sz w:val="24"/>
          <w:szCs w:val="24"/>
          <w:u w:val="single"/>
        </w:rPr>
      </w:pPr>
    </w:p>
    <w:p>
      <w:pPr>
        <w:tabs>
          <w:tab w:val="left" w:pos="0"/>
        </w:tabs>
        <w:spacing w:line="276" w:lineRule="auto"/>
        <w:jc w:val="left"/>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bCs/>
          <w:sz w:val="24"/>
          <w:szCs w:val="24"/>
        </w:rPr>
        <w:sectPr>
          <w:pgSz w:w="11906" w:h="16838"/>
          <w:pgMar w:top="1701" w:right="1588" w:bottom="1304" w:left="1588" w:header="1247" w:footer="737" w:gutter="0"/>
          <w:cols w:space="425" w:num="1"/>
          <w:docGrid w:linePitch="380" w:charSpace="-4301"/>
        </w:sectPr>
      </w:pPr>
    </w:p>
    <w:bookmarkEnd w:id="2"/>
    <w:bookmarkEnd w:id="3"/>
    <w:bookmarkEnd w:id="4"/>
    <w:bookmarkEnd w:id="5"/>
    <w:bookmarkEnd w:id="6"/>
    <w:p>
      <w:pPr>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技术规格偏离表格式</w:t>
      </w:r>
    </w:p>
    <w:p>
      <w:pPr>
        <w:spacing w:line="360" w:lineRule="auto"/>
        <w:ind w:firstLine="2983" w:firstLineChars="1238"/>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三、技术规格偏离表</w:t>
      </w:r>
    </w:p>
    <w:p>
      <w:pPr>
        <w:rPr>
          <w:rFonts w:asciiTheme="minorEastAsia" w:hAnsiTheme="minorEastAsia" w:eastAsiaTheme="minorEastAsia"/>
          <w:b/>
          <w:bCs/>
          <w:color w:val="FF0000"/>
          <w:sz w:val="24"/>
          <w:szCs w:val="24"/>
        </w:rPr>
      </w:pPr>
    </w:p>
    <w:p>
      <w:pPr>
        <w:rPr>
          <w:rFonts w:asciiTheme="minorEastAsia" w:hAnsiTheme="minorEastAsia" w:eastAsiaTheme="minorEastAsia"/>
          <w:b/>
          <w:bCs/>
          <w:color w:val="FF0000"/>
          <w:sz w:val="24"/>
          <w:szCs w:val="24"/>
        </w:rPr>
      </w:pPr>
      <w:r>
        <w:rPr>
          <w:rFonts w:hint="eastAsia" w:asciiTheme="minorEastAsia" w:hAnsiTheme="minorEastAsia" w:eastAsiaTheme="minorEastAsia"/>
          <w:b/>
          <w:bCs/>
          <w:color w:val="FF0000"/>
          <w:sz w:val="24"/>
          <w:szCs w:val="24"/>
        </w:rPr>
        <w:t>注：▲参数为重要参数，</w:t>
      </w:r>
      <w:r>
        <w:rPr>
          <w:rFonts w:hint="eastAsia" w:asciiTheme="minorEastAsia" w:hAnsiTheme="minorEastAsia" w:eastAsiaTheme="minorEastAsia"/>
          <w:b/>
          <w:color w:val="FF0000"/>
          <w:sz w:val="24"/>
          <w:szCs w:val="24"/>
        </w:rPr>
        <w:t>投标人必须提供相关证明材料（技术白皮书、彩页、产品说明书或检测报告等），否则按负偏离进行扣分，但</w:t>
      </w:r>
      <w:r>
        <w:rPr>
          <w:rFonts w:hint="eastAsia" w:asciiTheme="minorEastAsia" w:hAnsiTheme="minorEastAsia" w:eastAsiaTheme="minorEastAsia"/>
          <w:b/>
          <w:bCs/>
          <w:color w:val="FF0000"/>
          <w:sz w:val="24"/>
          <w:szCs w:val="24"/>
        </w:rPr>
        <w:t>不作为废标条款。</w:t>
      </w:r>
    </w:p>
    <w:p>
      <w:pPr>
        <w:rPr>
          <w:rFonts w:asciiTheme="minorEastAsia" w:hAnsiTheme="minorEastAsia" w:eastAsiaTheme="minorEastAsia"/>
          <w:sz w:val="24"/>
          <w:szCs w:val="24"/>
        </w:rPr>
      </w:pPr>
    </w:p>
    <w:tbl>
      <w:tblPr>
        <w:tblStyle w:val="13"/>
        <w:tblW w:w="84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701"/>
        <w:gridCol w:w="1662"/>
        <w:gridCol w:w="1740"/>
        <w:gridCol w:w="1417"/>
        <w:gridCol w:w="12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exact"/>
          <w:jc w:val="center"/>
        </w:trPr>
        <w:tc>
          <w:tcPr>
            <w:tcW w:w="705"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701"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货物名称</w:t>
            </w:r>
          </w:p>
        </w:tc>
        <w:tc>
          <w:tcPr>
            <w:tcW w:w="16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招标技术要求</w:t>
            </w:r>
          </w:p>
        </w:tc>
        <w:tc>
          <w:tcPr>
            <w:tcW w:w="174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投标技术响应</w:t>
            </w:r>
          </w:p>
        </w:tc>
        <w:tc>
          <w:tcPr>
            <w:tcW w:w="1417"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偏离情况</w:t>
            </w:r>
          </w:p>
        </w:tc>
        <w:tc>
          <w:tcPr>
            <w:tcW w:w="1213"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bl>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提示：</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1、“招标技术要求”一栏应填写招标文件“具体技术要求”的内容。如“具体技术要求”内容空白，则“招标技术要求”一栏应填写招标文件相关的全部技术要求内容)</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2、“投标技术响应”一栏必须详细填写投标产品的具体参数，并应对照招标技术要求一一对应响应。</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3、“偏离情况”一栏应如实填写“正偏离”、“负偏离”或“无偏离”。</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4、投标产品的技术参数应尽可能提供相应的证明资料，以证明投标人响应的真实性。证明资料包括制造商公布的产品说明书、产品彩页和我国政府机构出具的产品检验和核准证件等。投标人应在“说明”一栏中列出技术参数的证明资料名称，并指明该证明资料在投标文件中的具体位置。</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5、证明资料要求（可提交复印件）：</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产品说明书或彩页应为制造商公布或出具的中文产品说明书或彩页；提供外文说明书或彩页的，须同时提供对应中文翻译说明，评标依据以中文翻译内容为准，外文说明书或彩页仅供参考；产品说明书或彩页的尺寸和清晰度应该能够被阅读、识别和判断；</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（2）我国政府机构出具的产品检验和核准证件应为证件正面、背面和附件标注的全部具体内容；产品检验和核准证件的尺寸和清晰度应该能够被阅读、识别和判断。</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未达到以上提供要求的，评审小组有权认定为不合格响应，其相关分数予以扣减或作废标处理。</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6、评审小组有权对以谋取中标为目的的技术规格模糊响应（如有意照搬照抄招标文件的技术要求）或虚假响应予以认定，并视情况报医院相关监督管理部门予以处罚。</w:t>
      </w:r>
    </w:p>
    <w:p>
      <w:pPr>
        <w:spacing w:line="360" w:lineRule="auto"/>
        <w:jc w:val="left"/>
        <w:rPr>
          <w:rFonts w:asciiTheme="minorEastAsia" w:hAnsiTheme="minorEastAsia" w:eastAsiaTheme="minorEastAsia"/>
          <w:sz w:val="24"/>
          <w:szCs w:val="24"/>
        </w:rPr>
      </w:pPr>
      <w:bookmarkStart w:id="7" w:name="_Toc313109527"/>
    </w:p>
    <w:p>
      <w:pPr>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商务需求偏离表格式</w:t>
      </w:r>
    </w:p>
    <w:p>
      <w:pPr>
        <w:spacing w:line="360" w:lineRule="auto"/>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四、商务需求偏离表</w:t>
      </w:r>
      <w:bookmarkEnd w:id="7"/>
    </w:p>
    <w:p>
      <w:pPr>
        <w:pStyle w:val="20"/>
        <w:jc w:val="left"/>
        <w:rPr>
          <w:rFonts w:asciiTheme="minorEastAsia" w:hAnsiTheme="minorEastAsia" w:eastAsiaTheme="minorEastAsia"/>
          <w:sz w:val="24"/>
          <w:szCs w:val="24"/>
        </w:rPr>
      </w:pPr>
    </w:p>
    <w:tbl>
      <w:tblPr>
        <w:tblStyle w:val="13"/>
        <w:tblpPr w:leftFromText="180" w:rightFromText="180" w:vertAnchor="text" w:tblpY="1"/>
        <w:tblOverlap w:val="never"/>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080"/>
        <w:gridCol w:w="1980"/>
        <w:gridCol w:w="1980"/>
        <w:gridCol w:w="144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08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目录</w:t>
            </w:r>
          </w:p>
        </w:tc>
        <w:tc>
          <w:tcPr>
            <w:tcW w:w="198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招标商务条款</w:t>
            </w:r>
          </w:p>
        </w:tc>
        <w:tc>
          <w:tcPr>
            <w:tcW w:w="198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投标商务条款</w:t>
            </w:r>
          </w:p>
        </w:tc>
        <w:tc>
          <w:tcPr>
            <w:tcW w:w="144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偏离情况</w:t>
            </w:r>
          </w:p>
        </w:tc>
        <w:tc>
          <w:tcPr>
            <w:tcW w:w="162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928" w:type="dxa"/>
            <w:gridSpan w:val="6"/>
          </w:tcPr>
          <w:p>
            <w:pPr>
              <w:rPr>
                <w:rFonts w:asciiTheme="minorEastAsia" w:hAnsiTheme="minorEastAsia" w:eastAsiaTheme="minorEastAsia"/>
                <w:sz w:val="24"/>
                <w:szCs w:val="24"/>
              </w:rPr>
            </w:pPr>
            <w:r>
              <w:rPr>
                <w:rFonts w:hint="eastAsia" w:asciiTheme="minorEastAsia" w:hAnsiTheme="minorEastAsia" w:eastAsiaTheme="minorEastAsia"/>
                <w:sz w:val="24"/>
                <w:szCs w:val="24"/>
              </w:rPr>
              <w:t>（一）免费保修期内售后服务条款偏离表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928" w:type="dxa"/>
            <w:gridSpan w:val="6"/>
          </w:tcPr>
          <w:p>
            <w:pPr>
              <w:rPr>
                <w:rFonts w:asciiTheme="minorEastAsia" w:hAnsiTheme="minorEastAsia" w:eastAsiaTheme="minorEastAsia"/>
                <w:sz w:val="24"/>
                <w:szCs w:val="24"/>
              </w:rPr>
            </w:pPr>
            <w:r>
              <w:rPr>
                <w:rFonts w:hint="eastAsia" w:asciiTheme="minorEastAsia" w:hAnsiTheme="minorEastAsia" w:eastAsiaTheme="minorEastAsia"/>
                <w:sz w:val="24"/>
                <w:szCs w:val="24"/>
              </w:rPr>
              <w:t>（一）免费保修期外售后服务条款偏离表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928" w:type="dxa"/>
            <w:gridSpan w:val="6"/>
          </w:tcPr>
          <w:p>
            <w:pPr>
              <w:rPr>
                <w:rFonts w:asciiTheme="minorEastAsia" w:hAnsiTheme="minorEastAsia" w:eastAsiaTheme="minorEastAsia"/>
                <w:sz w:val="24"/>
                <w:szCs w:val="24"/>
              </w:rPr>
            </w:pPr>
            <w:r>
              <w:rPr>
                <w:rFonts w:hint="eastAsia" w:asciiTheme="minorEastAsia" w:hAnsiTheme="minorEastAsia" w:eastAsiaTheme="minorEastAsia"/>
                <w:sz w:val="24"/>
                <w:szCs w:val="24"/>
              </w:rPr>
              <w:t>（三）其他商务条款偏离表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bl>
    <w:p>
      <w:pPr>
        <w:pStyle w:val="20"/>
        <w:jc w:val="left"/>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提示：</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1、“招标商务条款”一栏必须填写招标文件“商务需求”的内容（如有），并分别对应“（一）免费保修期内售后服务要求、（二）免费保修期外售后服务要求、（三）其他商务要求”的内容进行填写。</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2、“投标商务条款”一栏必须详细填写投标商务条款的内容。</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3、“偏离情况”栏中应如实填写“正偏离”、“负偏离”或“无偏离”。</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4、交货期条款为不可负偏离条款，投标文件响应为“负偏离”的，投标文件将按废标处理。</w:t>
      </w:r>
    </w:p>
    <w:p>
      <w:pPr>
        <w:spacing w:line="360" w:lineRule="auto"/>
        <w:rPr>
          <w:rFonts w:asciiTheme="minorEastAsia" w:hAnsiTheme="minorEastAsia" w:eastAsiaTheme="minorEastAsia"/>
          <w:sz w:val="24"/>
          <w:szCs w:val="24"/>
        </w:rPr>
        <w:sectPr>
          <w:pgSz w:w="11906" w:h="16838"/>
          <w:pgMar w:top="1701" w:right="1588" w:bottom="1304" w:left="1588" w:header="1247" w:footer="737" w:gutter="0"/>
          <w:cols w:space="425" w:num="1"/>
          <w:docGrid w:linePitch="380" w:charSpace="-4301"/>
        </w:sectPr>
      </w:pPr>
      <w:r>
        <w:rPr>
          <w:rFonts w:hint="eastAsia" w:asciiTheme="minorEastAsia" w:hAnsiTheme="minorEastAsia" w:eastAsiaTheme="minorEastAsia"/>
          <w:sz w:val="24"/>
          <w:szCs w:val="24"/>
        </w:rPr>
        <w:t>5、开标一览表中填写的“交货期”必须与本表填写的“交货期”一致。如填写不一致，以开标一览表填写的“交货期”为准。</w:t>
      </w:r>
      <w:bookmarkStart w:id="15" w:name="_GoBack"/>
      <w:bookmarkEnd w:id="15"/>
    </w:p>
    <w:p>
      <w:pPr>
        <w:spacing w:line="30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投标分项报价表格式</w:t>
      </w:r>
    </w:p>
    <w:p>
      <w:pPr>
        <w:spacing w:line="360" w:lineRule="auto"/>
        <w:jc w:val="center"/>
        <w:rPr>
          <w:rFonts w:asciiTheme="minorEastAsia" w:hAnsiTheme="minorEastAsia" w:eastAsiaTheme="minorEastAsia"/>
          <w:b/>
          <w:bCs/>
          <w:sz w:val="24"/>
          <w:szCs w:val="24"/>
        </w:rPr>
      </w:pPr>
      <w:bookmarkStart w:id="8" w:name="_Toc313109531"/>
    </w:p>
    <w:p>
      <w:pPr>
        <w:spacing w:line="360" w:lineRule="auto"/>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五、投标分项报价表</w:t>
      </w:r>
      <w:bookmarkEnd w:id="8"/>
    </w:p>
    <w:p>
      <w:pPr>
        <w:rPr>
          <w:rFonts w:asciiTheme="minorEastAsia" w:hAnsiTheme="minorEastAsia" w:eastAsiaTheme="minorEastAsia"/>
          <w:sz w:val="24"/>
          <w:szCs w:val="24"/>
        </w:rPr>
      </w:pPr>
      <w:r>
        <w:rPr>
          <w:rFonts w:hint="eastAsia" w:asciiTheme="minorEastAsia" w:hAnsiTheme="minorEastAsia" w:eastAsiaTheme="minorEastAsia"/>
          <w:sz w:val="24"/>
          <w:szCs w:val="24"/>
        </w:rPr>
        <w:t>单位：元</w:t>
      </w:r>
    </w:p>
    <w:tbl>
      <w:tblPr>
        <w:tblStyle w:val="13"/>
        <w:tblW w:w="9578"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462"/>
        <w:gridCol w:w="2236"/>
        <w:gridCol w:w="1419"/>
        <w:gridCol w:w="990"/>
        <w:gridCol w:w="705"/>
        <w:gridCol w:w="852"/>
        <w:gridCol w:w="711"/>
        <w:gridCol w:w="808"/>
        <w:gridCol w:w="139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02" w:hRule="atLeast"/>
          <w:jc w:val="center"/>
        </w:trPr>
        <w:tc>
          <w:tcPr>
            <w:tcW w:w="462"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序号</w:t>
            </w:r>
          </w:p>
        </w:tc>
        <w:tc>
          <w:tcPr>
            <w:tcW w:w="2236"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货物名称</w:t>
            </w:r>
          </w:p>
        </w:tc>
        <w:tc>
          <w:tcPr>
            <w:tcW w:w="1419"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型号/规格</w:t>
            </w:r>
          </w:p>
        </w:tc>
        <w:tc>
          <w:tcPr>
            <w:tcW w:w="990"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原产地</w:t>
            </w:r>
          </w:p>
        </w:tc>
        <w:tc>
          <w:tcPr>
            <w:tcW w:w="705"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品牌</w:t>
            </w:r>
          </w:p>
        </w:tc>
        <w:tc>
          <w:tcPr>
            <w:tcW w:w="852"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数量</w:t>
            </w:r>
          </w:p>
        </w:tc>
        <w:tc>
          <w:tcPr>
            <w:tcW w:w="711"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单价</w:t>
            </w:r>
          </w:p>
        </w:tc>
        <w:tc>
          <w:tcPr>
            <w:tcW w:w="808"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合价</w:t>
            </w:r>
          </w:p>
        </w:tc>
        <w:tc>
          <w:tcPr>
            <w:tcW w:w="1395"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备注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３</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４</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５</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６</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97" w:hRule="atLeast"/>
          <w:jc w:val="center"/>
        </w:trPr>
        <w:tc>
          <w:tcPr>
            <w:tcW w:w="8183" w:type="dxa"/>
            <w:gridSpan w:val="8"/>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总    计</w:t>
            </w:r>
          </w:p>
        </w:tc>
        <w:tc>
          <w:tcPr>
            <w:tcW w:w="1395" w:type="dxa"/>
            <w:vAlign w:val="center"/>
          </w:tcPr>
          <w:p>
            <w:pPr>
              <w:jc w:val="center"/>
              <w:rPr>
                <w:rFonts w:asciiTheme="minorEastAsia" w:hAnsiTheme="minorEastAsia" w:eastAsiaTheme="minorEastAsia"/>
                <w:sz w:val="24"/>
                <w:szCs w:val="24"/>
              </w:rPr>
            </w:pPr>
          </w:p>
        </w:tc>
      </w:tr>
    </w:tbl>
    <w:p>
      <w:pPr>
        <w:pStyle w:val="21"/>
        <w:jc w:val="left"/>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注：</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单价、合价和投标总价为包干价，即三者均应包含设备的价款、包装、运输、装卸、安装、调试、技术指导、培训、咨询、服务、保险、税费、检测、验收合格交付使用之前以及技术和售后服务等其他各项有关费用。</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2、开标一览表的投标总价必须与本报价表的投标总价一致。</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3、“原产地”是指该产品的实际生产加工地，而非品牌总公司所在地。</w:t>
      </w:r>
    </w:p>
    <w:p>
      <w:pPr>
        <w:rPr>
          <w:rFonts w:asciiTheme="minorEastAsia" w:hAnsiTheme="minorEastAsia" w:eastAsiaTheme="minorEastAsia"/>
          <w:color w:val="FF0000"/>
          <w:kern w:val="0"/>
          <w:sz w:val="24"/>
          <w:szCs w:val="24"/>
          <w:highlight w:val="yellow"/>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（二）零配件、消耗品和延续保修合同报价清单（不包括在投标总价内）</w:t>
      </w:r>
    </w:p>
    <w:p>
      <w:pPr>
        <w:ind w:firstLine="482" w:firstLineChars="200"/>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注：价格最高的前5项零配件、消耗品和延续保修合同的报价明细必须填写于此清单中。如耗材价格较贵并长期使用则按需求分类报价评分。</w:t>
      </w:r>
    </w:p>
    <w:tbl>
      <w:tblPr>
        <w:tblStyle w:val="13"/>
        <w:tblW w:w="73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
        <w:gridCol w:w="1228"/>
        <w:gridCol w:w="1694"/>
        <w:gridCol w:w="900"/>
        <w:gridCol w:w="1027"/>
        <w:gridCol w:w="720"/>
        <w:gridCol w:w="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ind w:right="-69" w:rightChars="-33"/>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228"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货物名称</w:t>
            </w:r>
          </w:p>
        </w:tc>
        <w:tc>
          <w:tcPr>
            <w:tcW w:w="1694"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规格及型号</w:t>
            </w:r>
          </w:p>
        </w:tc>
        <w:tc>
          <w:tcPr>
            <w:tcW w:w="90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原产地</w:t>
            </w:r>
          </w:p>
        </w:tc>
        <w:tc>
          <w:tcPr>
            <w:tcW w:w="1027"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品牌</w:t>
            </w:r>
          </w:p>
        </w:tc>
        <w:tc>
          <w:tcPr>
            <w:tcW w:w="72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数量</w:t>
            </w:r>
          </w:p>
        </w:tc>
        <w:tc>
          <w:tcPr>
            <w:tcW w:w="977"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ind w:right="-69" w:rightChars="-33"/>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ind w:right="-69" w:rightChars="-33"/>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ind w:right="-69" w:rightChars="-33"/>
              <w:jc w:val="center"/>
              <w:rPr>
                <w:rFonts w:asciiTheme="minorEastAsia" w:hAnsiTheme="minorEastAsia" w:eastAsiaTheme="minorEastAsia"/>
                <w:sz w:val="24"/>
                <w:szCs w:val="24"/>
              </w:rPr>
            </w:pP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ind w:right="-69" w:rightChars="-33"/>
              <w:jc w:val="center"/>
              <w:rPr>
                <w:rFonts w:asciiTheme="minorEastAsia" w:hAnsiTheme="minorEastAsia" w:eastAsiaTheme="minorEastAsia"/>
                <w:sz w:val="24"/>
                <w:szCs w:val="24"/>
              </w:rPr>
            </w:pP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rPr>
                <w:rFonts w:asciiTheme="minorEastAsia" w:hAnsiTheme="minorEastAsia" w:eastAsiaTheme="minorEastAsia"/>
                <w:sz w:val="24"/>
                <w:szCs w:val="24"/>
              </w:rPr>
            </w:pP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rPr>
                <w:rFonts w:asciiTheme="minorEastAsia" w:hAnsiTheme="minorEastAsia" w:eastAsiaTheme="minorEastAsia"/>
                <w:sz w:val="24"/>
                <w:szCs w:val="24"/>
              </w:rPr>
            </w:pP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bl>
    <w:p>
      <w:pPr>
        <w:ind w:firstLine="482" w:firstLineChars="200"/>
        <w:rPr>
          <w:rFonts w:asciiTheme="minorEastAsia" w:hAnsiTheme="minorEastAsia" w:eastAsiaTheme="minorEastAsia"/>
          <w:b/>
          <w:bCs/>
          <w:sz w:val="24"/>
          <w:szCs w:val="24"/>
        </w:rPr>
      </w:pPr>
    </w:p>
    <w:tbl>
      <w:tblPr>
        <w:tblStyle w:val="13"/>
        <w:tblW w:w="74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2262"/>
        <w:gridCol w:w="2604"/>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2262" w:type="dxa"/>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服务名称</w:t>
            </w:r>
          </w:p>
        </w:tc>
        <w:tc>
          <w:tcPr>
            <w:tcW w:w="2604" w:type="dxa"/>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服务内容</w:t>
            </w:r>
          </w:p>
        </w:tc>
        <w:tc>
          <w:tcPr>
            <w:tcW w:w="1705" w:type="dxa"/>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价格（元）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pPr>
              <w:ind w:right="-69" w:rightChars="-33"/>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2262" w:type="dxa"/>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延续保修合同</w:t>
            </w:r>
          </w:p>
        </w:tc>
        <w:tc>
          <w:tcPr>
            <w:tcW w:w="2604" w:type="dxa"/>
          </w:tcPr>
          <w:p>
            <w:pPr>
              <w:jc w:val="center"/>
              <w:rPr>
                <w:rFonts w:asciiTheme="minorEastAsia" w:hAnsiTheme="minorEastAsia" w:eastAsiaTheme="minorEastAsia"/>
                <w:b/>
                <w:bCs/>
                <w:sz w:val="24"/>
                <w:szCs w:val="24"/>
              </w:rPr>
            </w:pPr>
          </w:p>
        </w:tc>
        <w:tc>
          <w:tcPr>
            <w:tcW w:w="1705" w:type="dxa"/>
          </w:tcPr>
          <w:p>
            <w:pPr>
              <w:jc w:val="center"/>
              <w:rPr>
                <w:rFonts w:asciiTheme="minorEastAsia" w:hAnsiTheme="minorEastAsia" w:eastAsiaTheme="minorEastAsia"/>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pPr>
              <w:ind w:right="-69" w:rightChars="-33"/>
              <w:jc w:val="center"/>
              <w:rPr>
                <w:rFonts w:asciiTheme="minorEastAsia" w:hAnsiTheme="minorEastAsia" w:eastAsiaTheme="minorEastAsia"/>
                <w:sz w:val="24"/>
                <w:szCs w:val="24"/>
              </w:rPr>
            </w:pPr>
          </w:p>
        </w:tc>
        <w:tc>
          <w:tcPr>
            <w:tcW w:w="2262" w:type="dxa"/>
          </w:tcPr>
          <w:p>
            <w:pPr>
              <w:jc w:val="center"/>
              <w:rPr>
                <w:rFonts w:asciiTheme="minorEastAsia" w:hAnsiTheme="minorEastAsia" w:eastAsiaTheme="minorEastAsia"/>
                <w:sz w:val="24"/>
                <w:szCs w:val="24"/>
              </w:rPr>
            </w:pPr>
          </w:p>
        </w:tc>
        <w:tc>
          <w:tcPr>
            <w:tcW w:w="2604" w:type="dxa"/>
          </w:tcPr>
          <w:p>
            <w:pPr>
              <w:jc w:val="center"/>
              <w:rPr>
                <w:rFonts w:asciiTheme="minorEastAsia" w:hAnsiTheme="minorEastAsia" w:eastAsiaTheme="minorEastAsia"/>
                <w:b/>
                <w:bCs/>
                <w:sz w:val="24"/>
                <w:szCs w:val="24"/>
              </w:rPr>
            </w:pPr>
          </w:p>
        </w:tc>
        <w:tc>
          <w:tcPr>
            <w:tcW w:w="1705" w:type="dxa"/>
          </w:tcPr>
          <w:p>
            <w:pPr>
              <w:jc w:val="center"/>
              <w:rPr>
                <w:rFonts w:asciiTheme="minorEastAsia" w:hAnsiTheme="minorEastAsia" w:eastAsiaTheme="minorEastAsia"/>
                <w:b/>
                <w:bCs/>
                <w:sz w:val="24"/>
                <w:szCs w:val="24"/>
              </w:rPr>
            </w:pPr>
          </w:p>
        </w:tc>
      </w:tr>
    </w:tbl>
    <w:p>
      <w:pPr>
        <w:ind w:firstLine="482" w:firstLineChars="200"/>
        <w:rPr>
          <w:rFonts w:asciiTheme="minorEastAsia" w:hAnsiTheme="minorEastAsia" w:eastAsiaTheme="minorEastAsia"/>
          <w:b/>
          <w:bCs/>
          <w:sz w:val="24"/>
          <w:szCs w:val="24"/>
        </w:rPr>
      </w:pPr>
    </w:p>
    <w:p>
      <w:pPr>
        <w:ind w:firstLine="482" w:firstLineChars="200"/>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（三）供应商认为需要涉及的其他内容报价清单</w:t>
      </w:r>
    </w:p>
    <w:p>
      <w:pPr>
        <w:spacing w:line="480" w:lineRule="auto"/>
        <w:jc w:val="left"/>
        <w:rPr>
          <w:rFonts w:cs="宋体" w:asciiTheme="minorEastAsia" w:hAnsiTheme="minorEastAsia" w:eastAsiaTheme="minorEastAsia"/>
          <w:sz w:val="24"/>
          <w:szCs w:val="24"/>
        </w:rPr>
      </w:pPr>
    </w:p>
    <w:p>
      <w:pPr>
        <w:spacing w:line="480" w:lineRule="auto"/>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投标人名称（公章）：</w:t>
      </w:r>
      <w:r>
        <w:rPr>
          <w:rFonts w:hint="eastAsia"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rPr>
        <w:t xml:space="preserve">  </w:t>
      </w:r>
    </w:p>
    <w:p>
      <w:pPr>
        <w:pStyle w:val="21"/>
        <w:spacing w:line="48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投标人代表（签字）：</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xml:space="preserve">  </w:t>
      </w:r>
    </w:p>
    <w:p>
      <w:pPr>
        <w:spacing w:line="300" w:lineRule="auto"/>
        <w:rPr>
          <w:rFonts w:cs="宋体" w:asciiTheme="minorEastAsia" w:hAnsiTheme="minorEastAsia" w:eastAsiaTheme="minorEastAsia"/>
          <w:kern w:val="0"/>
          <w:sz w:val="24"/>
          <w:szCs w:val="24"/>
        </w:rPr>
      </w:pPr>
      <w:r>
        <w:rPr>
          <w:rFonts w:hint="eastAsia" w:cs="宋体" w:asciiTheme="minorEastAsia" w:hAnsiTheme="minorEastAsia" w:eastAsiaTheme="minorEastAsia"/>
          <w:sz w:val="24"/>
          <w:szCs w:val="24"/>
        </w:rPr>
        <w:t>日        期：</w:t>
      </w:r>
      <w:r>
        <w:rPr>
          <w:rFonts w:hint="eastAsia" w:cs="宋体" w:asciiTheme="minorEastAsia" w:hAnsiTheme="minorEastAsia" w:eastAsiaTheme="minorEastAsia"/>
          <w:kern w:val="0"/>
          <w:sz w:val="24"/>
          <w:szCs w:val="24"/>
          <w:u w:val="single"/>
        </w:rPr>
        <w:t xml:space="preserve">                                 </w:t>
      </w:r>
    </w:p>
    <w:p>
      <w:pPr>
        <w:spacing w:line="300" w:lineRule="auto"/>
        <w:jc w:val="left"/>
        <w:rPr>
          <w:rFonts w:asciiTheme="minorEastAsia" w:hAnsiTheme="minorEastAsia" w:eastAsiaTheme="minorEastAsia"/>
          <w:sz w:val="24"/>
          <w:szCs w:val="24"/>
        </w:rPr>
      </w:pPr>
    </w:p>
    <w:p>
      <w:pPr>
        <w:spacing w:line="300" w:lineRule="auto"/>
        <w:jc w:val="left"/>
        <w:rPr>
          <w:rFonts w:asciiTheme="minorEastAsia" w:hAnsiTheme="minorEastAsia" w:eastAsiaTheme="minorEastAsia"/>
          <w:sz w:val="24"/>
          <w:szCs w:val="24"/>
        </w:rPr>
      </w:pPr>
    </w:p>
    <w:p>
      <w:pPr>
        <w:spacing w:line="300" w:lineRule="auto"/>
        <w:rPr>
          <w:rFonts w:asciiTheme="minorEastAsia" w:hAnsiTheme="minorEastAsia" w:eastAsiaTheme="minorEastAsia"/>
          <w:b/>
          <w:bCs/>
          <w:sz w:val="24"/>
          <w:szCs w:val="24"/>
        </w:rPr>
      </w:pPr>
      <w:r>
        <w:rPr>
          <w:rFonts w:asciiTheme="minorEastAsia" w:hAnsiTheme="minorEastAsia" w:eastAsiaTheme="minorEastAsia"/>
          <w:sz w:val="24"/>
          <w:szCs w:val="24"/>
        </w:rPr>
        <w:br w:type="page"/>
      </w:r>
      <w:bookmarkStart w:id="9" w:name="_Toc309632085"/>
      <w:r>
        <w:rPr>
          <w:rFonts w:hint="eastAsia" w:asciiTheme="minorEastAsia" w:hAnsiTheme="minorEastAsia" w:eastAsiaTheme="minorEastAsia"/>
          <w:sz w:val="24"/>
          <w:szCs w:val="24"/>
        </w:rPr>
        <w:t>货物说明一览表格式</w:t>
      </w:r>
    </w:p>
    <w:p>
      <w:pPr>
        <w:spacing w:line="360" w:lineRule="auto"/>
        <w:jc w:val="center"/>
        <w:rPr>
          <w:rFonts w:asciiTheme="minorEastAsia" w:hAnsiTheme="minorEastAsia" w:eastAsiaTheme="minorEastAsia"/>
          <w:b/>
          <w:bCs/>
          <w:sz w:val="24"/>
          <w:szCs w:val="24"/>
        </w:rPr>
      </w:pPr>
      <w:bookmarkStart w:id="10" w:name="_Toc313109532"/>
      <w:r>
        <w:rPr>
          <w:rFonts w:hint="eastAsia" w:asciiTheme="minorEastAsia" w:hAnsiTheme="minorEastAsia" w:eastAsiaTheme="minorEastAsia"/>
          <w:b/>
          <w:bCs/>
          <w:sz w:val="24"/>
          <w:szCs w:val="24"/>
        </w:rPr>
        <w:t>六、货物说明一览表</w:t>
      </w:r>
      <w:bookmarkEnd w:id="9"/>
      <w:bookmarkEnd w:id="10"/>
    </w:p>
    <w:p>
      <w:pPr>
        <w:pStyle w:val="8"/>
        <w:jc w:val="left"/>
        <w:rPr>
          <w:rFonts w:asciiTheme="minorEastAsia" w:hAnsiTheme="minorEastAsia" w:eastAsiaTheme="minorEastAsia"/>
          <w:sz w:val="24"/>
          <w:szCs w:val="24"/>
        </w:rPr>
      </w:pPr>
    </w:p>
    <w:tbl>
      <w:tblPr>
        <w:tblStyle w:val="13"/>
        <w:tblW w:w="82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7"/>
        <w:gridCol w:w="3290"/>
        <w:gridCol w:w="1376"/>
        <w:gridCol w:w="698"/>
        <w:gridCol w:w="19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97"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序号</w:t>
            </w:r>
          </w:p>
        </w:tc>
        <w:tc>
          <w:tcPr>
            <w:tcW w:w="3290"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货物名称</w:t>
            </w:r>
          </w:p>
        </w:tc>
        <w:tc>
          <w:tcPr>
            <w:tcW w:w="1376"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型号/规格</w:t>
            </w:r>
          </w:p>
        </w:tc>
        <w:tc>
          <w:tcPr>
            <w:tcW w:w="698"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数量</w:t>
            </w:r>
          </w:p>
        </w:tc>
        <w:tc>
          <w:tcPr>
            <w:tcW w:w="1994"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jc w:val="center"/>
        </w:trPr>
        <w:tc>
          <w:tcPr>
            <w:tcW w:w="897" w:type="dxa"/>
            <w:vAlign w:val="center"/>
          </w:tcPr>
          <w:p>
            <w:pPr>
              <w:pStyle w:val="8"/>
              <w:rPr>
                <w:rFonts w:asciiTheme="minorEastAsia" w:hAnsiTheme="minorEastAsia" w:eastAsiaTheme="minorEastAsia"/>
                <w:sz w:val="24"/>
                <w:szCs w:val="24"/>
              </w:rPr>
            </w:pPr>
          </w:p>
        </w:tc>
        <w:tc>
          <w:tcPr>
            <w:tcW w:w="3290" w:type="dxa"/>
            <w:vAlign w:val="center"/>
          </w:tcPr>
          <w:p>
            <w:pPr>
              <w:pStyle w:val="8"/>
              <w:rPr>
                <w:rFonts w:asciiTheme="minorEastAsia" w:hAnsiTheme="minorEastAsia" w:eastAsiaTheme="minorEastAsia"/>
                <w:sz w:val="24"/>
                <w:szCs w:val="24"/>
              </w:rPr>
            </w:pPr>
          </w:p>
        </w:tc>
        <w:tc>
          <w:tcPr>
            <w:tcW w:w="1376" w:type="dxa"/>
            <w:vAlign w:val="center"/>
          </w:tcPr>
          <w:p>
            <w:pPr>
              <w:pStyle w:val="8"/>
              <w:rPr>
                <w:rFonts w:asciiTheme="minorEastAsia" w:hAnsiTheme="minorEastAsia" w:eastAsiaTheme="minorEastAsia"/>
                <w:sz w:val="24"/>
                <w:szCs w:val="24"/>
              </w:rPr>
            </w:pPr>
          </w:p>
        </w:tc>
        <w:tc>
          <w:tcPr>
            <w:tcW w:w="698" w:type="dxa"/>
            <w:vAlign w:val="center"/>
          </w:tcPr>
          <w:p>
            <w:pPr>
              <w:pStyle w:val="8"/>
              <w:jc w:val="left"/>
              <w:rPr>
                <w:rFonts w:asciiTheme="minorEastAsia" w:hAnsiTheme="minorEastAsia" w:eastAsiaTheme="minorEastAsia"/>
                <w:sz w:val="24"/>
                <w:szCs w:val="24"/>
              </w:rPr>
            </w:pPr>
          </w:p>
        </w:tc>
        <w:tc>
          <w:tcPr>
            <w:tcW w:w="1994" w:type="dxa"/>
            <w:vAlign w:val="center"/>
          </w:tcPr>
          <w:p>
            <w:pPr>
              <w:pStyle w:val="8"/>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jc w:val="center"/>
        </w:trPr>
        <w:tc>
          <w:tcPr>
            <w:tcW w:w="897" w:type="dxa"/>
            <w:vAlign w:val="center"/>
          </w:tcPr>
          <w:p>
            <w:pPr>
              <w:pStyle w:val="8"/>
              <w:rPr>
                <w:rFonts w:asciiTheme="minorEastAsia" w:hAnsiTheme="minorEastAsia" w:eastAsiaTheme="minorEastAsia"/>
                <w:sz w:val="24"/>
                <w:szCs w:val="24"/>
              </w:rPr>
            </w:pPr>
          </w:p>
        </w:tc>
        <w:tc>
          <w:tcPr>
            <w:tcW w:w="3290" w:type="dxa"/>
            <w:vAlign w:val="center"/>
          </w:tcPr>
          <w:p>
            <w:pPr>
              <w:pStyle w:val="8"/>
              <w:rPr>
                <w:rFonts w:asciiTheme="minorEastAsia" w:hAnsiTheme="minorEastAsia" w:eastAsiaTheme="minorEastAsia"/>
                <w:sz w:val="24"/>
                <w:szCs w:val="24"/>
              </w:rPr>
            </w:pPr>
          </w:p>
        </w:tc>
        <w:tc>
          <w:tcPr>
            <w:tcW w:w="1376" w:type="dxa"/>
            <w:vAlign w:val="center"/>
          </w:tcPr>
          <w:p>
            <w:pPr>
              <w:pStyle w:val="8"/>
              <w:rPr>
                <w:rFonts w:asciiTheme="minorEastAsia" w:hAnsiTheme="minorEastAsia" w:eastAsiaTheme="minorEastAsia"/>
                <w:sz w:val="24"/>
                <w:szCs w:val="24"/>
              </w:rPr>
            </w:pPr>
          </w:p>
        </w:tc>
        <w:tc>
          <w:tcPr>
            <w:tcW w:w="698" w:type="dxa"/>
            <w:vAlign w:val="center"/>
          </w:tcPr>
          <w:p>
            <w:pPr>
              <w:pStyle w:val="8"/>
              <w:jc w:val="left"/>
              <w:rPr>
                <w:rFonts w:asciiTheme="minorEastAsia" w:hAnsiTheme="minorEastAsia" w:eastAsiaTheme="minorEastAsia"/>
                <w:sz w:val="24"/>
                <w:szCs w:val="24"/>
              </w:rPr>
            </w:pPr>
          </w:p>
        </w:tc>
        <w:tc>
          <w:tcPr>
            <w:tcW w:w="1994" w:type="dxa"/>
            <w:vAlign w:val="center"/>
          </w:tcPr>
          <w:p>
            <w:pPr>
              <w:pStyle w:val="8"/>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jc w:val="center"/>
        </w:trPr>
        <w:tc>
          <w:tcPr>
            <w:tcW w:w="897" w:type="dxa"/>
            <w:vAlign w:val="center"/>
          </w:tcPr>
          <w:p>
            <w:pPr>
              <w:pStyle w:val="8"/>
              <w:rPr>
                <w:rFonts w:asciiTheme="minorEastAsia" w:hAnsiTheme="minorEastAsia" w:eastAsiaTheme="minorEastAsia"/>
                <w:sz w:val="24"/>
                <w:szCs w:val="24"/>
              </w:rPr>
            </w:pPr>
          </w:p>
        </w:tc>
        <w:tc>
          <w:tcPr>
            <w:tcW w:w="3290" w:type="dxa"/>
            <w:vAlign w:val="center"/>
          </w:tcPr>
          <w:p>
            <w:pPr>
              <w:pStyle w:val="8"/>
              <w:rPr>
                <w:rFonts w:asciiTheme="minorEastAsia" w:hAnsiTheme="minorEastAsia" w:eastAsiaTheme="minorEastAsia"/>
                <w:sz w:val="24"/>
                <w:szCs w:val="24"/>
              </w:rPr>
            </w:pPr>
          </w:p>
        </w:tc>
        <w:tc>
          <w:tcPr>
            <w:tcW w:w="1376" w:type="dxa"/>
            <w:vAlign w:val="center"/>
          </w:tcPr>
          <w:p>
            <w:pPr>
              <w:pStyle w:val="8"/>
              <w:rPr>
                <w:rFonts w:asciiTheme="minorEastAsia" w:hAnsiTheme="minorEastAsia" w:eastAsiaTheme="minorEastAsia"/>
                <w:sz w:val="24"/>
                <w:szCs w:val="24"/>
              </w:rPr>
            </w:pPr>
          </w:p>
        </w:tc>
        <w:tc>
          <w:tcPr>
            <w:tcW w:w="698" w:type="dxa"/>
            <w:vAlign w:val="center"/>
          </w:tcPr>
          <w:p>
            <w:pPr>
              <w:pStyle w:val="8"/>
              <w:jc w:val="left"/>
              <w:rPr>
                <w:rFonts w:asciiTheme="minorEastAsia" w:hAnsiTheme="minorEastAsia" w:eastAsiaTheme="minorEastAsia"/>
                <w:sz w:val="24"/>
                <w:szCs w:val="24"/>
              </w:rPr>
            </w:pPr>
          </w:p>
        </w:tc>
        <w:tc>
          <w:tcPr>
            <w:tcW w:w="1994" w:type="dxa"/>
            <w:vAlign w:val="center"/>
          </w:tcPr>
          <w:p>
            <w:pPr>
              <w:pStyle w:val="8"/>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jc w:val="center"/>
        </w:trPr>
        <w:tc>
          <w:tcPr>
            <w:tcW w:w="897" w:type="dxa"/>
            <w:vAlign w:val="center"/>
          </w:tcPr>
          <w:p>
            <w:pPr>
              <w:pStyle w:val="8"/>
              <w:rPr>
                <w:rFonts w:asciiTheme="minorEastAsia" w:hAnsiTheme="minorEastAsia" w:eastAsiaTheme="minorEastAsia"/>
                <w:sz w:val="24"/>
                <w:szCs w:val="24"/>
              </w:rPr>
            </w:pPr>
          </w:p>
        </w:tc>
        <w:tc>
          <w:tcPr>
            <w:tcW w:w="3290" w:type="dxa"/>
            <w:vAlign w:val="center"/>
          </w:tcPr>
          <w:p>
            <w:pPr>
              <w:pStyle w:val="8"/>
              <w:rPr>
                <w:rFonts w:asciiTheme="minorEastAsia" w:hAnsiTheme="minorEastAsia" w:eastAsiaTheme="minorEastAsia"/>
                <w:sz w:val="24"/>
                <w:szCs w:val="24"/>
              </w:rPr>
            </w:pPr>
          </w:p>
        </w:tc>
        <w:tc>
          <w:tcPr>
            <w:tcW w:w="1376" w:type="dxa"/>
            <w:vAlign w:val="center"/>
          </w:tcPr>
          <w:p>
            <w:pPr>
              <w:pStyle w:val="8"/>
              <w:rPr>
                <w:rFonts w:asciiTheme="minorEastAsia" w:hAnsiTheme="minorEastAsia" w:eastAsiaTheme="minorEastAsia"/>
                <w:sz w:val="24"/>
                <w:szCs w:val="24"/>
              </w:rPr>
            </w:pPr>
          </w:p>
        </w:tc>
        <w:tc>
          <w:tcPr>
            <w:tcW w:w="698" w:type="dxa"/>
            <w:vAlign w:val="center"/>
          </w:tcPr>
          <w:p>
            <w:pPr>
              <w:pStyle w:val="8"/>
              <w:jc w:val="left"/>
              <w:rPr>
                <w:rFonts w:asciiTheme="minorEastAsia" w:hAnsiTheme="minorEastAsia" w:eastAsiaTheme="minorEastAsia"/>
                <w:sz w:val="24"/>
                <w:szCs w:val="24"/>
              </w:rPr>
            </w:pPr>
          </w:p>
        </w:tc>
        <w:tc>
          <w:tcPr>
            <w:tcW w:w="1994" w:type="dxa"/>
            <w:vAlign w:val="center"/>
          </w:tcPr>
          <w:p>
            <w:pPr>
              <w:pStyle w:val="8"/>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9" w:hRule="atLeast"/>
          <w:jc w:val="center"/>
        </w:trPr>
        <w:tc>
          <w:tcPr>
            <w:tcW w:w="897" w:type="dxa"/>
            <w:vAlign w:val="center"/>
          </w:tcPr>
          <w:p>
            <w:pPr>
              <w:pStyle w:val="8"/>
              <w:rPr>
                <w:rFonts w:asciiTheme="minorEastAsia" w:hAnsiTheme="minorEastAsia" w:eastAsiaTheme="minorEastAsia"/>
                <w:sz w:val="24"/>
                <w:szCs w:val="24"/>
              </w:rPr>
            </w:pPr>
          </w:p>
        </w:tc>
        <w:tc>
          <w:tcPr>
            <w:tcW w:w="3290" w:type="dxa"/>
            <w:vAlign w:val="center"/>
          </w:tcPr>
          <w:p>
            <w:pPr>
              <w:pStyle w:val="8"/>
              <w:rPr>
                <w:rFonts w:asciiTheme="minorEastAsia" w:hAnsiTheme="minorEastAsia" w:eastAsiaTheme="minorEastAsia"/>
                <w:sz w:val="24"/>
                <w:szCs w:val="24"/>
              </w:rPr>
            </w:pPr>
          </w:p>
          <w:p>
            <w:pPr>
              <w:pStyle w:val="8"/>
              <w:rPr>
                <w:rFonts w:asciiTheme="minorEastAsia" w:hAnsiTheme="minorEastAsia" w:eastAsiaTheme="minorEastAsia"/>
                <w:sz w:val="24"/>
                <w:szCs w:val="24"/>
              </w:rPr>
            </w:pPr>
          </w:p>
        </w:tc>
        <w:tc>
          <w:tcPr>
            <w:tcW w:w="1376" w:type="dxa"/>
            <w:vAlign w:val="center"/>
          </w:tcPr>
          <w:p>
            <w:pPr>
              <w:pStyle w:val="8"/>
              <w:rPr>
                <w:rFonts w:asciiTheme="minorEastAsia" w:hAnsiTheme="minorEastAsia" w:eastAsiaTheme="minorEastAsia"/>
                <w:sz w:val="24"/>
                <w:szCs w:val="24"/>
              </w:rPr>
            </w:pPr>
          </w:p>
        </w:tc>
        <w:tc>
          <w:tcPr>
            <w:tcW w:w="698" w:type="dxa"/>
            <w:vAlign w:val="center"/>
          </w:tcPr>
          <w:p>
            <w:pPr>
              <w:pStyle w:val="8"/>
              <w:jc w:val="left"/>
              <w:rPr>
                <w:rFonts w:asciiTheme="minorEastAsia" w:hAnsiTheme="minorEastAsia" w:eastAsiaTheme="minorEastAsia"/>
                <w:sz w:val="24"/>
                <w:szCs w:val="24"/>
              </w:rPr>
            </w:pPr>
          </w:p>
        </w:tc>
        <w:tc>
          <w:tcPr>
            <w:tcW w:w="1994" w:type="dxa"/>
            <w:vAlign w:val="center"/>
          </w:tcPr>
          <w:p>
            <w:pPr>
              <w:pStyle w:val="8"/>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9" w:hRule="atLeast"/>
          <w:jc w:val="center"/>
        </w:trPr>
        <w:tc>
          <w:tcPr>
            <w:tcW w:w="897" w:type="dxa"/>
            <w:vAlign w:val="center"/>
          </w:tcPr>
          <w:p>
            <w:pPr>
              <w:pStyle w:val="8"/>
              <w:rPr>
                <w:rFonts w:asciiTheme="minorEastAsia" w:hAnsiTheme="minorEastAsia" w:eastAsiaTheme="minorEastAsia"/>
                <w:sz w:val="24"/>
                <w:szCs w:val="24"/>
              </w:rPr>
            </w:pPr>
          </w:p>
        </w:tc>
        <w:tc>
          <w:tcPr>
            <w:tcW w:w="3290" w:type="dxa"/>
            <w:vAlign w:val="center"/>
          </w:tcPr>
          <w:p>
            <w:pPr>
              <w:pStyle w:val="8"/>
              <w:rPr>
                <w:rFonts w:asciiTheme="minorEastAsia" w:hAnsiTheme="minorEastAsia" w:eastAsiaTheme="minorEastAsia"/>
                <w:sz w:val="24"/>
                <w:szCs w:val="24"/>
              </w:rPr>
            </w:pPr>
          </w:p>
        </w:tc>
        <w:tc>
          <w:tcPr>
            <w:tcW w:w="1376" w:type="dxa"/>
            <w:vAlign w:val="center"/>
          </w:tcPr>
          <w:p>
            <w:pPr>
              <w:pStyle w:val="8"/>
              <w:rPr>
                <w:rFonts w:asciiTheme="minorEastAsia" w:hAnsiTheme="minorEastAsia" w:eastAsiaTheme="minorEastAsia"/>
                <w:sz w:val="24"/>
                <w:szCs w:val="24"/>
              </w:rPr>
            </w:pPr>
          </w:p>
        </w:tc>
        <w:tc>
          <w:tcPr>
            <w:tcW w:w="698" w:type="dxa"/>
            <w:vAlign w:val="center"/>
          </w:tcPr>
          <w:p>
            <w:pPr>
              <w:pStyle w:val="8"/>
              <w:jc w:val="left"/>
              <w:rPr>
                <w:rFonts w:asciiTheme="minorEastAsia" w:hAnsiTheme="minorEastAsia" w:eastAsiaTheme="minorEastAsia"/>
                <w:sz w:val="24"/>
                <w:szCs w:val="24"/>
              </w:rPr>
            </w:pPr>
          </w:p>
        </w:tc>
        <w:tc>
          <w:tcPr>
            <w:tcW w:w="1994" w:type="dxa"/>
            <w:vAlign w:val="center"/>
          </w:tcPr>
          <w:p>
            <w:pPr>
              <w:pStyle w:val="8"/>
              <w:jc w:val="left"/>
              <w:rPr>
                <w:rFonts w:asciiTheme="minorEastAsia" w:hAnsiTheme="minorEastAsia" w:eastAsiaTheme="minorEastAsia"/>
                <w:sz w:val="24"/>
                <w:szCs w:val="24"/>
              </w:rPr>
            </w:pPr>
          </w:p>
        </w:tc>
      </w:tr>
    </w:tbl>
    <w:p>
      <w:pPr>
        <w:pStyle w:val="8"/>
        <w:jc w:val="left"/>
        <w:rPr>
          <w:rFonts w:asciiTheme="minorEastAsia" w:hAnsiTheme="minorEastAsia" w:eastAsiaTheme="minorEastAsia"/>
          <w:sz w:val="24"/>
          <w:szCs w:val="24"/>
        </w:rPr>
      </w:pPr>
    </w:p>
    <w:p>
      <w:pPr>
        <w:pStyle w:val="8"/>
        <w:ind w:firstLine="960" w:firstLineChars="4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提示：提供制造商出具的产品中文说明书、彩页、照片等相关资料。</w:t>
      </w:r>
    </w:p>
    <w:p>
      <w:pPr>
        <w:jc w:val="center"/>
        <w:rPr>
          <w:rFonts w:asciiTheme="minorEastAsia" w:hAnsiTheme="minorEastAsia" w:eastAsiaTheme="minorEastAsia"/>
          <w:b/>
          <w:sz w:val="24"/>
          <w:szCs w:val="24"/>
        </w:rPr>
      </w:pPr>
      <w:r>
        <w:rPr>
          <w:rFonts w:cs="宋体" w:asciiTheme="minorEastAsia" w:hAnsiTheme="minorEastAsia" w:eastAsiaTheme="minorEastAsia"/>
          <w:spacing w:val="8"/>
          <w:kern w:val="0"/>
          <w:sz w:val="24"/>
          <w:szCs w:val="24"/>
        </w:rPr>
        <w:br w:type="page"/>
      </w:r>
      <w:r>
        <w:rPr>
          <w:rFonts w:hint="eastAsia" w:asciiTheme="minorEastAsia" w:hAnsiTheme="minorEastAsia" w:eastAsiaTheme="minorEastAsia"/>
          <w:b/>
          <w:bCs/>
          <w:sz w:val="24"/>
          <w:szCs w:val="24"/>
        </w:rPr>
        <w:t>七、诚信情况承诺函</w:t>
      </w:r>
    </w:p>
    <w:p>
      <w:pPr>
        <w:spacing w:line="312" w:lineRule="auto"/>
        <w:rPr>
          <w:rFonts w:asciiTheme="minorEastAsia" w:hAnsiTheme="minorEastAsia" w:eastAsiaTheme="minorEastAsia"/>
          <w:sz w:val="24"/>
          <w:szCs w:val="24"/>
        </w:rPr>
      </w:pPr>
    </w:p>
    <w:p>
      <w:pPr>
        <w:spacing w:line="360" w:lineRule="auto"/>
        <w:rPr>
          <w:rFonts w:asciiTheme="minorEastAsia" w:hAnsiTheme="minorEastAsia" w:eastAsiaTheme="minorEastAsia"/>
          <w:i/>
          <w:iCs/>
          <w:sz w:val="24"/>
          <w:szCs w:val="24"/>
        </w:rPr>
      </w:pPr>
      <w:r>
        <w:rPr>
          <w:rFonts w:hint="eastAsia" w:asciiTheme="minorEastAsia" w:hAnsiTheme="minorEastAsia" w:eastAsiaTheme="minorEastAsia"/>
          <w:sz w:val="24"/>
          <w:szCs w:val="24"/>
        </w:rPr>
        <w:t>致：深圳市儿童医院</w:t>
      </w:r>
    </w:p>
    <w:p>
      <w:pPr>
        <w:spacing w:line="360" w:lineRule="auto"/>
        <w:ind w:firstLine="525"/>
        <w:rPr>
          <w:rFonts w:asciiTheme="minorEastAsia" w:hAnsiTheme="minorEastAsia" w:eastAsiaTheme="minorEastAsia"/>
          <w:sz w:val="24"/>
          <w:szCs w:val="24"/>
        </w:rPr>
      </w:pPr>
      <w:r>
        <w:rPr>
          <w:rFonts w:hint="eastAsia" w:asciiTheme="minorEastAsia" w:hAnsiTheme="minorEastAsia" w:eastAsiaTheme="minorEastAsia"/>
          <w:sz w:val="24"/>
          <w:szCs w:val="24"/>
        </w:rPr>
        <w:t>我司参加贵</w:t>
      </w:r>
      <w:r>
        <w:rPr>
          <w:rFonts w:hint="eastAsia" w:asciiTheme="minorEastAsia" w:hAnsiTheme="minorEastAsia" w:eastAsiaTheme="minorEastAsia"/>
          <w:sz w:val="24"/>
          <w:szCs w:val="24"/>
          <w:u w:val="single"/>
        </w:rPr>
        <w:t xml:space="preserve">院                     </w:t>
      </w:r>
      <w:r>
        <w:rPr>
          <w:rFonts w:hint="eastAsia" w:asciiTheme="minorEastAsia" w:hAnsiTheme="minorEastAsia" w:eastAsiaTheme="minorEastAsia"/>
          <w:sz w:val="24"/>
          <w:szCs w:val="24"/>
        </w:rPr>
        <w:t>招标项目投标，在此郑重承诺：</w:t>
      </w:r>
    </w:p>
    <w:p>
      <w:pPr>
        <w:spacing w:line="360" w:lineRule="auto"/>
        <w:ind w:firstLine="525"/>
        <w:rPr>
          <w:rFonts w:asciiTheme="minorEastAsia" w:hAnsiTheme="minorEastAsia" w:eastAsiaTheme="minorEastAsia"/>
          <w:sz w:val="24"/>
          <w:szCs w:val="24"/>
        </w:rPr>
      </w:pPr>
      <w:r>
        <w:rPr>
          <w:rFonts w:hint="eastAsia" w:asciiTheme="minorEastAsia" w:hAnsiTheme="minorEastAsia" w:eastAsiaTheme="minorEastAsia"/>
          <w:sz w:val="24"/>
          <w:szCs w:val="24"/>
        </w:rPr>
        <w:t>1、我司未</w:t>
      </w:r>
      <w:r>
        <w:rPr>
          <w:rFonts w:asciiTheme="minorEastAsia" w:hAnsiTheme="minorEastAsia" w:eastAsiaTheme="minorEastAsia"/>
          <w:sz w:val="24"/>
          <w:szCs w:val="24"/>
        </w:rPr>
        <w:t>在政府采购活动中出现以下情形之一</w:t>
      </w:r>
      <w:r>
        <w:rPr>
          <w:rFonts w:hint="eastAsia" w:asciiTheme="minorEastAsia" w:hAnsiTheme="minorEastAsia" w:eastAsiaTheme="minorEastAsia"/>
          <w:sz w:val="24"/>
          <w:szCs w:val="24"/>
        </w:rPr>
        <w:t>：</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被纪检监察部门立案调查，违法违规事实成立的；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未按规定签订、履行采购合同，造成严重后果的；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隐瞒真实情况，提供虚假资料的；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以非法手段排斥其他供应商参与竞争的；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与其他采购参加人串通投标的；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在采购活动中应当回避而未回避的；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恶意投诉的；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向采购项目相关人行贿或者提供其他不当利益的；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阻碍、抗拒主管部门监督检查的；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在政府采购主管部门履约检查中不及格或评价为差的；</w:t>
      </w:r>
    </w:p>
    <w:p>
      <w:pPr>
        <w:spacing w:line="360" w:lineRule="auto"/>
        <w:ind w:left="420"/>
        <w:rPr>
          <w:rFonts w:asciiTheme="minorEastAsia" w:hAnsiTheme="minorEastAsia" w:eastAsiaTheme="minorEastAsia"/>
          <w:sz w:val="24"/>
          <w:szCs w:val="24"/>
        </w:rPr>
      </w:pPr>
      <w:r>
        <w:rPr>
          <w:rFonts w:hint="eastAsia" w:asciiTheme="minorEastAsia" w:hAnsiTheme="minorEastAsia" w:eastAsiaTheme="minorEastAsia"/>
          <w:sz w:val="24"/>
          <w:szCs w:val="24"/>
        </w:rPr>
        <w:t>（十一）主管部门认定的其他情形。</w:t>
      </w:r>
    </w:p>
    <w:p>
      <w:pPr>
        <w:spacing w:line="360" w:lineRule="auto"/>
        <w:ind w:firstLine="540"/>
        <w:rPr>
          <w:rFonts w:asciiTheme="minorEastAsia" w:hAnsiTheme="minorEastAsia" w:eastAsiaTheme="minorEastAsia"/>
          <w:sz w:val="24"/>
          <w:szCs w:val="24"/>
        </w:rPr>
      </w:pPr>
      <w:r>
        <w:rPr>
          <w:rFonts w:hint="eastAsia" w:asciiTheme="minorEastAsia" w:hAnsiTheme="minorEastAsia" w:eastAsiaTheme="minorEastAsia"/>
          <w:sz w:val="24"/>
          <w:szCs w:val="24"/>
        </w:rPr>
        <w:t>2、我司已清楚不得作虚假承诺。如违反上述要求作出虚假承诺，其投标将作废，被列入不良记录名单并在网上曝光，一年内不得参加我院投标。</w:t>
      </w:r>
    </w:p>
    <w:p>
      <w:pPr>
        <w:spacing w:line="312" w:lineRule="auto"/>
        <w:ind w:firstLine="525"/>
        <w:rPr>
          <w:rFonts w:asciiTheme="minorEastAsia" w:hAnsiTheme="minorEastAsia" w:eastAsiaTheme="minorEastAsia"/>
          <w:sz w:val="24"/>
          <w:szCs w:val="24"/>
        </w:rPr>
      </w:pPr>
    </w:p>
    <w:p>
      <w:pPr>
        <w:spacing w:line="312" w:lineRule="auto"/>
        <w:ind w:firstLine="525"/>
        <w:rPr>
          <w:rFonts w:asciiTheme="minorEastAsia" w:hAnsiTheme="minorEastAsia" w:eastAsiaTheme="minorEastAsia"/>
          <w:sz w:val="24"/>
          <w:szCs w:val="24"/>
        </w:rPr>
      </w:pPr>
    </w:p>
    <w:p>
      <w:pPr>
        <w:spacing w:line="312" w:lineRule="auto"/>
        <w:ind w:firstLine="525"/>
        <w:rPr>
          <w:rFonts w:asciiTheme="minorEastAsia" w:hAnsiTheme="minorEastAsia" w:eastAsiaTheme="minorEastAsia"/>
          <w:sz w:val="24"/>
          <w:szCs w:val="24"/>
        </w:rPr>
      </w:pPr>
    </w:p>
    <w:p>
      <w:pPr>
        <w:spacing w:line="312" w:lineRule="auto"/>
        <w:ind w:firstLine="525"/>
        <w:rPr>
          <w:rFonts w:asciiTheme="minorEastAsia" w:hAnsiTheme="minorEastAsia" w:eastAsiaTheme="minorEastAsia"/>
          <w:sz w:val="24"/>
          <w:szCs w:val="24"/>
        </w:rPr>
      </w:pPr>
    </w:p>
    <w:p>
      <w:pPr>
        <w:spacing w:line="312" w:lineRule="auto"/>
        <w:ind w:firstLine="525"/>
        <w:rPr>
          <w:rFonts w:asciiTheme="minorEastAsia" w:hAnsiTheme="minorEastAsia" w:eastAsiaTheme="minorEastAsia"/>
          <w:sz w:val="24"/>
          <w:szCs w:val="24"/>
        </w:rPr>
      </w:pPr>
    </w:p>
    <w:p>
      <w:pPr>
        <w:spacing w:line="480" w:lineRule="auto"/>
        <w:ind w:firstLine="360" w:firstLineChars="150"/>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投标人名称（公章）：</w:t>
      </w:r>
      <w:r>
        <w:rPr>
          <w:rFonts w:hint="eastAsia"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rPr>
        <w:t xml:space="preserve">  </w:t>
      </w:r>
    </w:p>
    <w:p>
      <w:pPr>
        <w:pStyle w:val="21"/>
        <w:spacing w:line="480" w:lineRule="auto"/>
        <w:ind w:firstLine="360" w:firstLineChars="150"/>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投标人代表（签字）：</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xml:space="preserve">  </w:t>
      </w:r>
    </w:p>
    <w:p>
      <w:pPr>
        <w:spacing w:line="360" w:lineRule="auto"/>
        <w:ind w:firstLine="360" w:firstLineChars="150"/>
        <w:rPr>
          <w:rFonts w:asciiTheme="minorEastAsia" w:hAnsiTheme="minorEastAsia" w:eastAsiaTheme="minorEastAsia"/>
          <w:sz w:val="24"/>
          <w:szCs w:val="24"/>
          <w:u w:val="single"/>
        </w:rPr>
      </w:pPr>
      <w:r>
        <w:rPr>
          <w:rFonts w:hint="eastAsia" w:cs="宋体" w:asciiTheme="minorEastAsia" w:hAnsiTheme="minorEastAsia" w:eastAsiaTheme="minorEastAsia"/>
          <w:sz w:val="24"/>
          <w:szCs w:val="24"/>
        </w:rPr>
        <w:t>日        期：</w:t>
      </w:r>
      <w:r>
        <w:rPr>
          <w:rFonts w:hint="eastAsia" w:cs="宋体" w:asciiTheme="minorEastAsia" w:hAnsiTheme="minorEastAsia" w:eastAsiaTheme="minorEastAsia"/>
          <w:kern w:val="0"/>
          <w:sz w:val="24"/>
          <w:szCs w:val="24"/>
          <w:u w:val="single"/>
        </w:rPr>
        <w:t xml:space="preserve">                                 </w:t>
      </w:r>
    </w:p>
    <w:p>
      <w:pPr>
        <w:spacing w:line="300" w:lineRule="auto"/>
        <w:rPr>
          <w:rFonts w:asciiTheme="minorEastAsia" w:hAnsiTheme="minorEastAsia" w:eastAsiaTheme="minorEastAsia"/>
          <w:sz w:val="24"/>
          <w:szCs w:val="24"/>
        </w:rPr>
      </w:pPr>
      <w:bookmarkStart w:id="11" w:name="_Toc313109535"/>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ind w:firstLine="2891" w:firstLineChars="1200"/>
        <w:rPr>
          <w:rFonts w:asciiTheme="minorEastAsia" w:hAnsiTheme="minorEastAsia" w:eastAsiaTheme="minorEastAsia"/>
          <w:b/>
          <w:sz w:val="24"/>
          <w:szCs w:val="24"/>
        </w:rPr>
      </w:pPr>
      <w:r>
        <w:rPr>
          <w:rFonts w:hint="eastAsia" w:asciiTheme="minorEastAsia" w:hAnsiTheme="minorEastAsia" w:eastAsiaTheme="minorEastAsia"/>
          <w:b/>
          <w:bCs/>
          <w:snapToGrid w:val="0"/>
          <w:kern w:val="0"/>
          <w:sz w:val="24"/>
          <w:szCs w:val="24"/>
        </w:rPr>
        <w:t>八、</w:t>
      </w:r>
      <w:r>
        <w:rPr>
          <w:rFonts w:hint="eastAsia" w:asciiTheme="minorEastAsia" w:hAnsiTheme="minorEastAsia" w:eastAsiaTheme="minorEastAsia"/>
          <w:b/>
          <w:sz w:val="24"/>
          <w:szCs w:val="24"/>
        </w:rPr>
        <w:t>产品质量保证书</w:t>
      </w:r>
    </w:p>
    <w:p>
      <w:pPr>
        <w:rPr>
          <w:rFonts w:asciiTheme="minorEastAsia" w:hAnsiTheme="minorEastAsia" w:eastAsiaTheme="minorEastAsia"/>
          <w:sz w:val="24"/>
          <w:szCs w:val="24"/>
        </w:rPr>
      </w:pP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本公司销售的产品是经由国家相关部门严格审核获准进入市场。</w:t>
      </w: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为保证您安全、放心地使用本产品，我公司对产品的质量和服务郑重承诺：</w:t>
      </w:r>
    </w:p>
    <w:p>
      <w:pPr>
        <w:numPr>
          <w:ilvl w:val="0"/>
          <w:numId w:val="3"/>
        </w:numPr>
        <w:rPr>
          <w:rFonts w:asciiTheme="minorEastAsia" w:hAnsiTheme="minorEastAsia" w:eastAsiaTheme="minorEastAsia"/>
          <w:sz w:val="24"/>
          <w:szCs w:val="24"/>
        </w:rPr>
      </w:pPr>
      <w:r>
        <w:rPr>
          <w:rFonts w:hint="eastAsia" w:asciiTheme="minorEastAsia" w:hAnsiTheme="minorEastAsia" w:eastAsiaTheme="minorEastAsia"/>
          <w:sz w:val="24"/>
          <w:szCs w:val="24"/>
        </w:rPr>
        <w:t>使用本产品的患者均能得到公司高质量的售前、售中、售后服务。</w:t>
      </w:r>
    </w:p>
    <w:p>
      <w:pPr>
        <w:numPr>
          <w:ilvl w:val="0"/>
          <w:numId w:val="3"/>
        </w:numPr>
        <w:rPr>
          <w:rFonts w:asciiTheme="minorEastAsia" w:hAnsiTheme="minorEastAsia" w:eastAsiaTheme="minorEastAsia"/>
          <w:sz w:val="24"/>
          <w:szCs w:val="24"/>
        </w:rPr>
      </w:pPr>
      <w:r>
        <w:rPr>
          <w:rFonts w:hint="eastAsia" w:asciiTheme="minorEastAsia" w:hAnsiTheme="minorEastAsia" w:eastAsiaTheme="minorEastAsia"/>
          <w:sz w:val="24"/>
          <w:szCs w:val="24"/>
        </w:rPr>
        <w:t>因产品质量缺陷造成的伤害和损失（经国家法定权威部门鉴定，情况属实），则与医院无关，由本公司与产品生产厂家负责赔偿责任。</w:t>
      </w:r>
    </w:p>
    <w:p>
      <w:pPr>
        <w:numPr>
          <w:ilvl w:val="0"/>
          <w:numId w:val="3"/>
        </w:numPr>
        <w:rPr>
          <w:rFonts w:asciiTheme="minorEastAsia" w:hAnsiTheme="minorEastAsia" w:eastAsiaTheme="minorEastAsia"/>
          <w:sz w:val="24"/>
          <w:szCs w:val="24"/>
        </w:rPr>
      </w:pPr>
      <w:r>
        <w:rPr>
          <w:rFonts w:hint="eastAsia" w:asciiTheme="minorEastAsia" w:hAnsiTheme="minorEastAsia" w:eastAsiaTheme="minorEastAsia"/>
          <w:sz w:val="24"/>
          <w:szCs w:val="24"/>
        </w:rPr>
        <w:t>因使用本产品而导致的医患纠纷，在未明确责任前，本公司愿意协助医院积极处理。</w:t>
      </w: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spacing w:line="480" w:lineRule="auto"/>
        <w:rPr>
          <w:rFonts w:asciiTheme="minorEastAsia" w:hAnsiTheme="minorEastAsia" w:eastAsiaTheme="minorEastAsia"/>
          <w:sz w:val="24"/>
          <w:szCs w:val="24"/>
        </w:rPr>
      </w:pPr>
    </w:p>
    <w:p>
      <w:pPr>
        <w:spacing w:line="480" w:lineRule="auto"/>
        <w:rPr>
          <w:rFonts w:asciiTheme="minorEastAsia" w:hAnsiTheme="minorEastAsia" w:eastAsiaTheme="minorEastAsia"/>
          <w:sz w:val="24"/>
          <w:szCs w:val="24"/>
        </w:rPr>
      </w:pPr>
    </w:p>
    <w:p>
      <w:pPr>
        <w:spacing w:line="480" w:lineRule="auto"/>
        <w:ind w:firstLine="3840" w:firstLineChars="1600"/>
        <w:rPr>
          <w:rFonts w:asciiTheme="minorEastAsia" w:hAnsiTheme="minorEastAsia" w:eastAsiaTheme="minorEastAsia"/>
          <w:sz w:val="24"/>
          <w:szCs w:val="24"/>
        </w:rPr>
      </w:pPr>
      <w:r>
        <w:rPr>
          <w:rFonts w:hint="eastAsia" w:asciiTheme="minorEastAsia" w:hAnsiTheme="minorEastAsia" w:eastAsiaTheme="minorEastAsia"/>
          <w:sz w:val="24"/>
          <w:szCs w:val="24"/>
        </w:rPr>
        <w:t>销售公司（盖章）：</w:t>
      </w:r>
    </w:p>
    <w:p>
      <w:pPr>
        <w:spacing w:line="480" w:lineRule="auto"/>
        <w:ind w:firstLine="3840" w:firstLineChars="1600"/>
        <w:rPr>
          <w:rFonts w:asciiTheme="minorEastAsia" w:hAnsiTheme="minorEastAsia" w:eastAsiaTheme="minorEastAsia"/>
          <w:sz w:val="24"/>
          <w:szCs w:val="24"/>
        </w:rPr>
      </w:pPr>
      <w:r>
        <w:rPr>
          <w:rFonts w:hint="eastAsia" w:asciiTheme="minorEastAsia" w:hAnsiTheme="minorEastAsia" w:eastAsiaTheme="minorEastAsia"/>
          <w:sz w:val="24"/>
          <w:szCs w:val="24"/>
        </w:rPr>
        <w:t>代表签名：</w:t>
      </w:r>
    </w:p>
    <w:p>
      <w:pPr>
        <w:spacing w:line="480" w:lineRule="auto"/>
        <w:ind w:firstLine="3840" w:firstLineChars="1600"/>
        <w:rPr>
          <w:rFonts w:asciiTheme="minorEastAsia" w:hAnsiTheme="minorEastAsia" w:eastAsiaTheme="minorEastAsia"/>
          <w:sz w:val="24"/>
          <w:szCs w:val="24"/>
        </w:rPr>
      </w:pPr>
      <w:r>
        <w:rPr>
          <w:rFonts w:hint="eastAsia" w:asciiTheme="minorEastAsia" w:hAnsiTheme="minorEastAsia" w:eastAsiaTheme="minorEastAsia"/>
          <w:sz w:val="24"/>
          <w:szCs w:val="24"/>
        </w:rPr>
        <w:t>身份证号：</w:t>
      </w:r>
    </w:p>
    <w:p>
      <w:pPr>
        <w:spacing w:line="480" w:lineRule="auto"/>
        <w:ind w:firstLine="3840" w:firstLineChars="1600"/>
        <w:rPr>
          <w:rFonts w:asciiTheme="minorEastAsia" w:hAnsiTheme="minorEastAsia" w:eastAsiaTheme="minorEastAsia"/>
          <w:sz w:val="24"/>
          <w:szCs w:val="24"/>
        </w:rPr>
      </w:pPr>
      <w:r>
        <w:rPr>
          <w:rFonts w:hint="eastAsia" w:asciiTheme="minorEastAsia" w:hAnsiTheme="minorEastAsia" w:eastAsiaTheme="minorEastAsia"/>
          <w:sz w:val="24"/>
          <w:szCs w:val="24"/>
        </w:rPr>
        <w:t>日    期：</w:t>
      </w: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ind w:firstLine="1446" w:firstLineChars="600"/>
        <w:rPr>
          <w:rFonts w:asciiTheme="minorEastAsia" w:hAnsiTheme="minorEastAsia" w:eastAsiaTheme="minorEastAsia"/>
          <w:b/>
          <w:bCs/>
          <w:sz w:val="24"/>
          <w:szCs w:val="24"/>
        </w:rPr>
      </w:pPr>
    </w:p>
    <w:p>
      <w:pPr>
        <w:spacing w:line="300" w:lineRule="auto"/>
        <w:ind w:firstLine="1446" w:firstLineChars="600"/>
        <w:rPr>
          <w:rFonts w:asciiTheme="minorEastAsia" w:hAnsiTheme="minorEastAsia" w:eastAsiaTheme="minorEastAsia"/>
          <w:b/>
          <w:bCs/>
          <w:sz w:val="24"/>
          <w:szCs w:val="24"/>
        </w:rPr>
      </w:pPr>
    </w:p>
    <w:p>
      <w:pPr>
        <w:spacing w:line="300" w:lineRule="auto"/>
        <w:rPr>
          <w:rFonts w:asciiTheme="minorEastAsia" w:hAnsiTheme="minorEastAsia" w:eastAsiaTheme="minorEastAsia"/>
          <w:b/>
          <w:bCs/>
          <w:sz w:val="24"/>
          <w:szCs w:val="24"/>
        </w:rPr>
      </w:pPr>
    </w:p>
    <w:p>
      <w:pPr>
        <w:spacing w:line="300" w:lineRule="auto"/>
        <w:ind w:firstLine="1446" w:firstLineChars="600"/>
        <w:rPr>
          <w:rFonts w:asciiTheme="minorEastAsia" w:hAnsiTheme="minorEastAsia" w:eastAsiaTheme="minorEastAsia"/>
          <w:sz w:val="24"/>
          <w:szCs w:val="24"/>
        </w:rPr>
      </w:pPr>
      <w:r>
        <w:rPr>
          <w:rFonts w:hint="eastAsia" w:asciiTheme="minorEastAsia" w:hAnsiTheme="minorEastAsia" w:eastAsiaTheme="minorEastAsia"/>
          <w:b/>
          <w:bCs/>
          <w:sz w:val="24"/>
          <w:szCs w:val="24"/>
        </w:rPr>
        <w:t>九、投标人认为需要补充的其他资料（如有）</w:t>
      </w:r>
      <w:bookmarkEnd w:id="11"/>
    </w:p>
    <w:p>
      <w:pPr>
        <w:spacing w:line="360" w:lineRule="auto"/>
        <w:jc w:val="left"/>
        <w:rPr>
          <w:rFonts w:asciiTheme="minorEastAsia" w:hAnsiTheme="minorEastAsia" w:eastAsiaTheme="minorEastAsia"/>
          <w:sz w:val="24"/>
          <w:szCs w:val="24"/>
        </w:rPr>
      </w:pPr>
    </w:p>
    <w:p>
      <w:pPr>
        <w:spacing w:line="360" w:lineRule="auto"/>
        <w:jc w:val="left"/>
        <w:rPr>
          <w:rFonts w:asciiTheme="minorEastAsia" w:hAnsiTheme="minorEastAsia" w:eastAsiaTheme="minorEastAsia"/>
          <w:sz w:val="24"/>
          <w:szCs w:val="24"/>
        </w:rPr>
      </w:pPr>
    </w:p>
    <w:p>
      <w:pPr>
        <w:spacing w:line="360" w:lineRule="auto"/>
        <w:jc w:val="left"/>
        <w:rPr>
          <w:rFonts w:asciiTheme="minorEastAsia" w:hAnsiTheme="minorEastAsia" w:eastAsiaTheme="minorEastAsia"/>
          <w:sz w:val="24"/>
          <w:szCs w:val="24"/>
        </w:rPr>
      </w:pPr>
    </w:p>
    <w:p>
      <w:pPr>
        <w:pStyle w:val="3"/>
        <w:spacing w:line="360" w:lineRule="auto"/>
        <w:rPr>
          <w:rFonts w:hint="eastAsia" w:asciiTheme="minorEastAsia" w:hAnsiTheme="minorEastAsia" w:eastAsiaTheme="minorEastAsia"/>
          <w:b w:val="0"/>
          <w:sz w:val="24"/>
          <w:szCs w:val="24"/>
        </w:rPr>
      </w:pPr>
      <w:r>
        <w:rPr>
          <w:rFonts w:hint="eastAsia" w:asciiTheme="minorEastAsia" w:hAnsiTheme="minorEastAsia" w:eastAsiaTheme="minorEastAsia"/>
          <w:b w:val="0"/>
          <w:sz w:val="24"/>
          <w:szCs w:val="24"/>
        </w:rPr>
        <w:t>采购需求文件</w:t>
      </w:r>
    </w:p>
    <w:tbl>
      <w:tblPr>
        <w:tblStyle w:val="13"/>
        <w:tblW w:w="10065" w:type="dxa"/>
        <w:tblCellSpacing w:w="0" w:type="dxa"/>
        <w:tblInd w:w="-537"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15" w:type="dxa"/>
          <w:left w:w="15" w:type="dxa"/>
          <w:bottom w:w="15" w:type="dxa"/>
          <w:right w:w="15" w:type="dxa"/>
        </w:tblCellMar>
      </w:tblPr>
      <w:tblGrid>
        <w:gridCol w:w="1185"/>
        <w:gridCol w:w="1123"/>
        <w:gridCol w:w="5415"/>
        <w:gridCol w:w="2342"/>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项目背景</w:t>
            </w:r>
            <w:r>
              <w:rPr>
                <w:rFonts w:ascii="宋体" w:hAnsi="宋体" w:cs="宋体"/>
                <w:kern w:val="0"/>
                <w:sz w:val="24"/>
                <w:szCs w:val="24"/>
              </w:rPr>
              <w:t xml:space="preserve"> </w:t>
            </w:r>
          </w:p>
        </w:tc>
        <w:tc>
          <w:tcPr>
            <w:tcW w:w="8880" w:type="dxa"/>
            <w:gridSpan w:val="3"/>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kern w:val="0"/>
                <w:sz w:val="24"/>
                <w:szCs w:val="24"/>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top w:val="single" w:color="auto" w:sz="6" w:space="0"/>
              <w:left w:val="single" w:color="auto" w:sz="6" w:space="0"/>
              <w:bottom w:val="nil"/>
              <w:right w:val="nil"/>
            </w:tcBorders>
            <w:noWrap w:val="0"/>
            <w:vAlign w:val="center"/>
          </w:tcPr>
          <w:p>
            <w:pPr>
              <w:widowControl/>
              <w:snapToGrid/>
              <w:spacing w:before="0" w:beforeAutospacing="1" w:after="0" w:afterAutospacing="1" w:line="240" w:lineRule="auto"/>
              <w:jc w:val="left"/>
              <w:textAlignment w:val="baseline"/>
              <w:rPr>
                <w:rFonts w:ascii="宋体" w:hAnsi="宋体" w:cs="宋体"/>
                <w:kern w:val="0"/>
                <w:sz w:val="24"/>
                <w:szCs w:val="24"/>
              </w:rPr>
            </w:pPr>
            <w:r>
              <w:rPr>
                <w:rStyle w:val="39"/>
                <w:rFonts w:ascii="宋体" w:hAnsi="宋体" w:cs="宋体"/>
                <w:b/>
                <w:bCs/>
                <w:i w:val="0"/>
                <w:caps w:val="0"/>
                <w:spacing w:val="0"/>
                <w:w w:val="100"/>
                <w:kern w:val="0"/>
                <w:sz w:val="24"/>
                <w:szCs w:val="24"/>
                <w:lang w:val="en-US" w:eastAsia="zh-CN" w:bidi="ar-SA"/>
              </w:rPr>
              <w:t>货物清单</w:t>
            </w:r>
            <w:r>
              <w:rPr>
                <w:rStyle w:val="39"/>
                <w:rFonts w:ascii="宋体" w:hAnsi="宋体"/>
                <w:b w:val="0"/>
                <w:i w:val="0"/>
                <w:caps w:val="0"/>
                <w:spacing w:val="0"/>
                <w:w w:val="100"/>
                <w:kern w:val="0"/>
                <w:sz w:val="24"/>
                <w:szCs w:val="24"/>
                <w:lang w:val="en-US" w:eastAsia="zh-CN" w:bidi="ar-SA"/>
              </w:rPr>
              <w:t xml:space="preserve"> </w:t>
            </w:r>
          </w:p>
        </w:tc>
        <w:tc>
          <w:tcPr>
            <w:tcW w:w="8880" w:type="dxa"/>
            <w:gridSpan w:val="3"/>
            <w:tcBorders>
              <w:top w:val="single" w:color="auto" w:sz="6" w:space="0"/>
              <w:left w:val="single" w:color="auto" w:sz="6" w:space="0"/>
              <w:bottom w:val="nil"/>
              <w:right w:val="nil"/>
            </w:tcBorders>
            <w:noWrap w:val="0"/>
            <w:vAlign w:val="center"/>
          </w:tcPr>
          <w:tbl>
            <w:tblPr>
              <w:tblStyle w:val="13"/>
              <w:tblW w:w="8827"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2627"/>
              <w:gridCol w:w="1344"/>
              <w:gridCol w:w="1311"/>
              <w:gridCol w:w="1770"/>
              <w:gridCol w:w="1775"/>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462" w:hRule="atLeast"/>
                <w:tblHeader/>
              </w:trPr>
              <w:tc>
                <w:tcPr>
                  <w:tcW w:w="2627" w:type="dxa"/>
                  <w:tcBorders>
                    <w:top w:val="nil"/>
                    <w:left w:val="single" w:color="000000" w:sz="6" w:space="0"/>
                    <w:bottom w:val="nil"/>
                    <w:right w:val="nil"/>
                  </w:tcBorders>
                  <w:vAlign w:val="center"/>
                </w:tcPr>
                <w:p>
                  <w:pPr>
                    <w:widowControl/>
                    <w:snapToGrid/>
                    <w:spacing w:before="0" w:beforeAutospacing="0" w:after="0" w:afterAutospacing="0" w:line="240" w:lineRule="auto"/>
                    <w:jc w:val="center"/>
                    <w:textAlignment w:val="baseline"/>
                    <w:rPr>
                      <w:rStyle w:val="39"/>
                      <w:rFonts w:ascii="宋体" w:hAnsi="宋体" w:cs="宋体"/>
                      <w:b/>
                      <w:bCs/>
                      <w:i w:val="0"/>
                      <w:caps w:val="0"/>
                      <w:color w:val="FF0000"/>
                      <w:spacing w:val="0"/>
                      <w:w w:val="100"/>
                      <w:kern w:val="0"/>
                      <w:sz w:val="24"/>
                      <w:szCs w:val="24"/>
                      <w:lang w:val="en-US" w:eastAsia="zh-CN" w:bidi="ar-SA"/>
                    </w:rPr>
                  </w:pPr>
                  <w:r>
                    <w:rPr>
                      <w:rStyle w:val="39"/>
                      <w:rFonts w:ascii="宋体" w:hAnsi="宋体" w:cs="宋体"/>
                      <w:b/>
                      <w:bCs/>
                      <w:i w:val="0"/>
                      <w:caps w:val="0"/>
                      <w:color w:val="FF0000"/>
                      <w:spacing w:val="0"/>
                      <w:w w:val="100"/>
                      <w:kern w:val="0"/>
                      <w:sz w:val="24"/>
                      <w:szCs w:val="24"/>
                      <w:lang w:val="en-US" w:eastAsia="zh-CN" w:bidi="ar-SA"/>
                    </w:rPr>
                    <w:t xml:space="preserve">设备名称 </w:t>
                  </w:r>
                </w:p>
              </w:tc>
              <w:tc>
                <w:tcPr>
                  <w:tcW w:w="1344" w:type="dxa"/>
                  <w:tcBorders>
                    <w:top w:val="nil"/>
                    <w:left w:val="single" w:color="000000" w:sz="6" w:space="0"/>
                    <w:bottom w:val="nil"/>
                    <w:right w:val="nil"/>
                  </w:tcBorders>
                  <w:vAlign w:val="center"/>
                </w:tcPr>
                <w:p>
                  <w:pPr>
                    <w:widowControl/>
                    <w:snapToGrid/>
                    <w:spacing w:before="0" w:beforeAutospacing="0" w:after="0" w:afterAutospacing="0" w:line="240" w:lineRule="auto"/>
                    <w:jc w:val="center"/>
                    <w:textAlignment w:val="baseline"/>
                    <w:rPr>
                      <w:rStyle w:val="39"/>
                      <w:rFonts w:ascii="宋体" w:hAnsi="宋体" w:cs="宋体"/>
                      <w:b/>
                      <w:bCs/>
                      <w:i w:val="0"/>
                      <w:caps w:val="0"/>
                      <w:color w:val="FF0000"/>
                      <w:spacing w:val="0"/>
                      <w:w w:val="100"/>
                      <w:kern w:val="0"/>
                      <w:sz w:val="24"/>
                      <w:szCs w:val="24"/>
                      <w:lang w:val="en-US" w:eastAsia="zh-CN" w:bidi="ar-SA"/>
                    </w:rPr>
                  </w:pPr>
                  <w:r>
                    <w:rPr>
                      <w:rStyle w:val="39"/>
                      <w:rFonts w:ascii="宋体" w:hAnsi="宋体" w:cs="宋体"/>
                      <w:b/>
                      <w:bCs/>
                      <w:i w:val="0"/>
                      <w:caps w:val="0"/>
                      <w:color w:val="FF0000"/>
                      <w:spacing w:val="0"/>
                      <w:w w:val="100"/>
                      <w:kern w:val="0"/>
                      <w:sz w:val="24"/>
                      <w:szCs w:val="24"/>
                      <w:lang w:val="en-US" w:eastAsia="zh-CN" w:bidi="ar-SA"/>
                    </w:rPr>
                    <w:t>数量</w:t>
                  </w:r>
                </w:p>
              </w:tc>
              <w:tc>
                <w:tcPr>
                  <w:tcW w:w="1311" w:type="dxa"/>
                  <w:tcBorders>
                    <w:top w:val="nil"/>
                    <w:left w:val="single" w:color="000000" w:sz="6" w:space="0"/>
                    <w:bottom w:val="nil"/>
                    <w:right w:val="nil"/>
                  </w:tcBorders>
                  <w:vAlign w:val="center"/>
                </w:tcPr>
                <w:p>
                  <w:pPr>
                    <w:widowControl/>
                    <w:snapToGrid/>
                    <w:spacing w:before="0" w:beforeAutospacing="0" w:after="0" w:afterAutospacing="0" w:line="240" w:lineRule="auto"/>
                    <w:jc w:val="center"/>
                    <w:textAlignment w:val="baseline"/>
                    <w:rPr>
                      <w:rStyle w:val="39"/>
                      <w:rFonts w:ascii="宋体" w:hAnsi="宋体" w:cs="宋体"/>
                      <w:b/>
                      <w:bCs/>
                      <w:i w:val="0"/>
                      <w:caps w:val="0"/>
                      <w:color w:val="FF0000"/>
                      <w:spacing w:val="0"/>
                      <w:w w:val="100"/>
                      <w:kern w:val="0"/>
                      <w:sz w:val="24"/>
                      <w:szCs w:val="24"/>
                      <w:lang w:val="en-US" w:eastAsia="zh-CN" w:bidi="ar-SA"/>
                    </w:rPr>
                  </w:pPr>
                  <w:r>
                    <w:rPr>
                      <w:rStyle w:val="39"/>
                      <w:rFonts w:ascii="宋体" w:hAnsi="宋体" w:cs="宋体"/>
                      <w:b/>
                      <w:bCs/>
                      <w:i w:val="0"/>
                      <w:caps w:val="0"/>
                      <w:color w:val="FF0000"/>
                      <w:spacing w:val="0"/>
                      <w:w w:val="100"/>
                      <w:kern w:val="0"/>
                      <w:sz w:val="24"/>
                      <w:szCs w:val="24"/>
                      <w:lang w:val="en-US" w:eastAsia="zh-CN" w:bidi="ar-SA"/>
                    </w:rPr>
                    <w:t>单位</w:t>
                  </w:r>
                </w:p>
              </w:tc>
              <w:tc>
                <w:tcPr>
                  <w:tcW w:w="1770" w:type="dxa"/>
                  <w:tcBorders>
                    <w:top w:val="nil"/>
                    <w:left w:val="single" w:color="000000" w:sz="6" w:space="0"/>
                    <w:bottom w:val="nil"/>
                    <w:right w:val="nil"/>
                  </w:tcBorders>
                  <w:vAlign w:val="center"/>
                </w:tcPr>
                <w:p>
                  <w:pPr>
                    <w:widowControl/>
                    <w:snapToGrid/>
                    <w:spacing w:before="0" w:beforeAutospacing="0" w:after="0" w:afterAutospacing="0" w:line="240" w:lineRule="auto"/>
                    <w:jc w:val="center"/>
                    <w:textAlignment w:val="baseline"/>
                    <w:rPr>
                      <w:rStyle w:val="39"/>
                      <w:rFonts w:ascii="宋体" w:hAnsi="宋体" w:cs="宋体"/>
                      <w:b/>
                      <w:bCs/>
                      <w:i w:val="0"/>
                      <w:caps w:val="0"/>
                      <w:color w:val="FF0000"/>
                      <w:spacing w:val="0"/>
                      <w:w w:val="100"/>
                      <w:kern w:val="0"/>
                      <w:sz w:val="24"/>
                      <w:szCs w:val="24"/>
                      <w:lang w:val="en-US" w:eastAsia="zh-CN" w:bidi="ar-SA"/>
                    </w:rPr>
                  </w:pPr>
                  <w:r>
                    <w:rPr>
                      <w:rStyle w:val="39"/>
                      <w:rFonts w:ascii="宋体" w:hAnsi="宋体" w:cs="宋体"/>
                      <w:b/>
                      <w:bCs/>
                      <w:i w:val="0"/>
                      <w:caps w:val="0"/>
                      <w:color w:val="FF0000"/>
                      <w:spacing w:val="0"/>
                      <w:w w:val="100"/>
                      <w:kern w:val="0"/>
                      <w:sz w:val="24"/>
                      <w:szCs w:val="24"/>
                      <w:lang w:val="en-US" w:eastAsia="zh-CN" w:bidi="ar-SA"/>
                    </w:rPr>
                    <w:t>总预算金额(元)</w:t>
                  </w:r>
                </w:p>
              </w:tc>
              <w:tc>
                <w:tcPr>
                  <w:tcW w:w="1775" w:type="dxa"/>
                  <w:tcBorders>
                    <w:top w:val="nil"/>
                    <w:left w:val="single" w:color="000000" w:sz="6" w:space="0"/>
                    <w:bottom w:val="nil"/>
                    <w:right w:val="nil"/>
                  </w:tcBorders>
                  <w:vAlign w:val="center"/>
                </w:tcPr>
                <w:p>
                  <w:pPr>
                    <w:widowControl/>
                    <w:snapToGrid/>
                    <w:spacing w:before="0" w:beforeAutospacing="0" w:after="0" w:afterAutospacing="0" w:line="240" w:lineRule="auto"/>
                    <w:jc w:val="center"/>
                    <w:textAlignment w:val="baseline"/>
                    <w:rPr>
                      <w:rStyle w:val="39"/>
                      <w:rFonts w:ascii="宋体" w:hAnsi="宋体" w:cs="宋体"/>
                      <w:b/>
                      <w:bCs/>
                      <w:i w:val="0"/>
                      <w:caps w:val="0"/>
                      <w:color w:val="FF0000"/>
                      <w:spacing w:val="0"/>
                      <w:w w:val="100"/>
                      <w:kern w:val="0"/>
                      <w:sz w:val="24"/>
                      <w:szCs w:val="24"/>
                      <w:lang w:val="en-US" w:eastAsia="zh-CN" w:bidi="ar-SA"/>
                    </w:rPr>
                  </w:pPr>
                  <w:r>
                    <w:rPr>
                      <w:rStyle w:val="39"/>
                      <w:rFonts w:ascii="宋体" w:hAnsi="宋体" w:cs="宋体"/>
                      <w:b/>
                      <w:bCs/>
                      <w:i w:val="0"/>
                      <w:caps w:val="0"/>
                      <w:color w:val="FF0000"/>
                      <w:spacing w:val="0"/>
                      <w:w w:val="100"/>
                      <w:kern w:val="0"/>
                      <w:sz w:val="24"/>
                      <w:szCs w:val="24"/>
                      <w:lang w:val="en-US" w:eastAsia="zh-CN" w:bidi="ar-SA"/>
                    </w:rPr>
                    <w:t>备注</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2627" w:type="dxa"/>
                  <w:tcBorders>
                    <w:top w:val="single" w:color="000000" w:sz="6" w:space="0"/>
                    <w:left w:val="single" w:color="000000" w:sz="6" w:space="0"/>
                    <w:bottom w:val="nil"/>
                    <w:right w:val="nil"/>
                  </w:tcBorders>
                  <w:vAlign w:val="center"/>
                </w:tcPr>
                <w:p>
                  <w:pPr>
                    <w:widowControl/>
                    <w:snapToGrid/>
                    <w:spacing w:before="0" w:beforeAutospacing="0" w:after="0" w:afterAutospacing="0" w:line="240" w:lineRule="auto"/>
                    <w:jc w:val="center"/>
                    <w:textAlignment w:val="baseline"/>
                    <w:rPr>
                      <w:rStyle w:val="39"/>
                      <w:rFonts w:ascii="宋体" w:hAnsi="宋体"/>
                      <w:b w:val="0"/>
                      <w:i w:val="0"/>
                      <w:caps w:val="0"/>
                      <w:color w:val="FF0000"/>
                      <w:spacing w:val="0"/>
                      <w:w w:val="100"/>
                      <w:kern w:val="0"/>
                      <w:sz w:val="24"/>
                      <w:szCs w:val="24"/>
                      <w:lang w:val="en-US" w:eastAsia="zh-CN" w:bidi="ar-SA"/>
                    </w:rPr>
                  </w:pPr>
                  <w:r>
                    <w:rPr>
                      <w:rStyle w:val="39"/>
                      <w:rFonts w:ascii="宋体" w:hAnsi="宋体"/>
                      <w:b w:val="0"/>
                      <w:i w:val="0"/>
                      <w:caps w:val="0"/>
                      <w:color w:val="FF0000"/>
                      <w:spacing w:val="0"/>
                      <w:w w:val="100"/>
                      <w:kern w:val="0"/>
                      <w:sz w:val="24"/>
                      <w:szCs w:val="24"/>
                      <w:lang w:val="en-US" w:eastAsia="zh-CN" w:bidi="ar-SA"/>
                    </w:rPr>
                    <w:t>经皮黄疸测定仪</w:t>
                  </w:r>
                </w:p>
              </w:tc>
              <w:tc>
                <w:tcPr>
                  <w:tcW w:w="1344" w:type="dxa"/>
                  <w:tcBorders>
                    <w:top w:val="single" w:color="000000" w:sz="6" w:space="0"/>
                    <w:left w:val="single" w:color="000000" w:sz="6" w:space="0"/>
                    <w:bottom w:val="nil"/>
                    <w:right w:val="nil"/>
                  </w:tcBorders>
                  <w:vAlign w:val="center"/>
                </w:tcPr>
                <w:p>
                  <w:pPr>
                    <w:widowControl/>
                    <w:snapToGrid/>
                    <w:spacing w:before="0" w:beforeAutospacing="0" w:after="0" w:afterAutospacing="0" w:line="240" w:lineRule="auto"/>
                    <w:jc w:val="center"/>
                    <w:textAlignment w:val="baseline"/>
                    <w:rPr>
                      <w:rStyle w:val="39"/>
                      <w:rFonts w:ascii="宋体" w:hAnsi="宋体" w:eastAsia="Times New Roman"/>
                      <w:b w:val="0"/>
                      <w:i w:val="0"/>
                      <w:caps w:val="0"/>
                      <w:color w:val="FF0000"/>
                      <w:spacing w:val="0"/>
                      <w:w w:val="100"/>
                      <w:kern w:val="0"/>
                      <w:sz w:val="24"/>
                      <w:szCs w:val="24"/>
                      <w:lang w:val="en-US" w:eastAsia="zh-CN" w:bidi="ar-SA"/>
                    </w:rPr>
                  </w:pPr>
                  <w:r>
                    <w:rPr>
                      <w:rStyle w:val="39"/>
                      <w:rFonts w:ascii="宋体" w:hAnsi="宋体"/>
                      <w:b w:val="0"/>
                      <w:i w:val="0"/>
                      <w:caps w:val="0"/>
                      <w:color w:val="FF0000"/>
                      <w:spacing w:val="0"/>
                      <w:w w:val="100"/>
                      <w:kern w:val="0"/>
                      <w:sz w:val="24"/>
                      <w:szCs w:val="24"/>
                      <w:lang w:val="en-US" w:eastAsia="zh-CN" w:bidi="ar-SA"/>
                    </w:rPr>
                    <w:t>1</w:t>
                  </w:r>
                </w:p>
              </w:tc>
              <w:tc>
                <w:tcPr>
                  <w:tcW w:w="1311" w:type="dxa"/>
                  <w:tcBorders>
                    <w:top w:val="single" w:color="000000" w:sz="6" w:space="0"/>
                    <w:left w:val="single" w:color="000000" w:sz="6" w:space="0"/>
                    <w:bottom w:val="nil"/>
                    <w:right w:val="nil"/>
                  </w:tcBorders>
                  <w:vAlign w:val="center"/>
                </w:tcPr>
                <w:p>
                  <w:pPr>
                    <w:widowControl/>
                    <w:snapToGrid/>
                    <w:spacing w:before="0" w:beforeAutospacing="0" w:after="0" w:afterAutospacing="0" w:line="240" w:lineRule="auto"/>
                    <w:jc w:val="center"/>
                    <w:textAlignment w:val="baseline"/>
                    <w:rPr>
                      <w:rStyle w:val="39"/>
                      <w:rFonts w:ascii="宋体" w:hAnsi="宋体" w:eastAsia="Times New Roman"/>
                      <w:b w:val="0"/>
                      <w:i w:val="0"/>
                      <w:caps w:val="0"/>
                      <w:color w:val="FF0000"/>
                      <w:spacing w:val="0"/>
                      <w:w w:val="100"/>
                      <w:kern w:val="0"/>
                      <w:sz w:val="24"/>
                      <w:szCs w:val="24"/>
                      <w:lang w:val="en-US" w:eastAsia="zh-CN" w:bidi="ar-SA"/>
                    </w:rPr>
                  </w:pPr>
                  <w:r>
                    <w:rPr>
                      <w:rStyle w:val="39"/>
                      <w:rFonts w:ascii="宋体" w:hAnsi="宋体"/>
                      <w:b w:val="0"/>
                      <w:i w:val="0"/>
                      <w:caps w:val="0"/>
                      <w:color w:val="FF0000"/>
                      <w:spacing w:val="0"/>
                      <w:w w:val="100"/>
                      <w:kern w:val="0"/>
                      <w:sz w:val="24"/>
                      <w:szCs w:val="24"/>
                      <w:lang w:val="en-US" w:eastAsia="zh-CN" w:bidi="ar-SA"/>
                    </w:rPr>
                    <w:t>台</w:t>
                  </w:r>
                </w:p>
              </w:tc>
              <w:tc>
                <w:tcPr>
                  <w:tcW w:w="1770" w:type="dxa"/>
                  <w:tcBorders>
                    <w:top w:val="single" w:color="000000" w:sz="6" w:space="0"/>
                    <w:left w:val="single" w:color="000000" w:sz="6" w:space="0"/>
                    <w:bottom w:val="nil"/>
                    <w:right w:val="nil"/>
                  </w:tcBorders>
                  <w:vAlign w:val="center"/>
                </w:tcPr>
                <w:p>
                  <w:pPr>
                    <w:widowControl/>
                    <w:snapToGrid/>
                    <w:spacing w:before="0" w:beforeAutospacing="0" w:after="0" w:afterAutospacing="0" w:line="240" w:lineRule="auto"/>
                    <w:jc w:val="center"/>
                    <w:textAlignment w:val="baseline"/>
                    <w:rPr>
                      <w:rStyle w:val="39"/>
                      <w:rFonts w:ascii="宋体" w:hAnsi="宋体" w:eastAsia="Times New Roman"/>
                      <w:b w:val="0"/>
                      <w:i w:val="0"/>
                      <w:caps w:val="0"/>
                      <w:color w:val="FF0000"/>
                      <w:spacing w:val="0"/>
                      <w:w w:val="100"/>
                      <w:kern w:val="0"/>
                      <w:sz w:val="24"/>
                      <w:szCs w:val="24"/>
                      <w:lang w:val="en-US" w:eastAsia="zh-CN" w:bidi="ar-SA"/>
                    </w:rPr>
                  </w:pPr>
                  <w:r>
                    <w:rPr>
                      <w:rStyle w:val="39"/>
                      <w:rFonts w:ascii="宋体" w:hAnsi="宋体"/>
                      <w:b w:val="0"/>
                      <w:i w:val="0"/>
                      <w:caps w:val="0"/>
                      <w:color w:val="FF0000"/>
                      <w:spacing w:val="0"/>
                      <w:w w:val="100"/>
                      <w:kern w:val="0"/>
                      <w:sz w:val="24"/>
                      <w:szCs w:val="24"/>
                      <w:lang w:val="en-US" w:eastAsia="zh-CN" w:bidi="ar-SA"/>
                    </w:rPr>
                    <w:t>86000.00</w:t>
                  </w:r>
                </w:p>
              </w:tc>
              <w:tc>
                <w:tcPr>
                  <w:tcW w:w="1775" w:type="dxa"/>
                  <w:tcBorders>
                    <w:top w:val="single" w:color="000000" w:sz="6" w:space="0"/>
                    <w:left w:val="single" w:color="000000" w:sz="6" w:space="0"/>
                    <w:bottom w:val="nil"/>
                    <w:right w:val="nil"/>
                  </w:tcBorders>
                  <w:vAlign w:val="center"/>
                </w:tcPr>
                <w:p>
                  <w:pPr>
                    <w:widowControl/>
                    <w:snapToGrid/>
                    <w:spacing w:before="0" w:beforeAutospacing="0" w:after="0" w:afterAutospacing="0" w:line="240" w:lineRule="auto"/>
                    <w:jc w:val="center"/>
                    <w:textAlignment w:val="baseline"/>
                    <w:rPr>
                      <w:rStyle w:val="39"/>
                      <w:rFonts w:ascii="宋体" w:hAnsi="宋体"/>
                      <w:b w:val="0"/>
                      <w:i w:val="0"/>
                      <w:caps w:val="0"/>
                      <w:color w:val="FF0000"/>
                      <w:spacing w:val="0"/>
                      <w:w w:val="100"/>
                      <w:kern w:val="0"/>
                      <w:sz w:val="24"/>
                      <w:szCs w:val="24"/>
                      <w:lang w:val="en-US" w:eastAsia="zh-CN" w:bidi="ar-SA"/>
                    </w:rPr>
                  </w:pPr>
                  <w:r>
                    <w:rPr>
                      <w:rStyle w:val="39"/>
                      <w:rFonts w:ascii="宋体" w:hAnsi="宋体"/>
                      <w:b w:val="0"/>
                      <w:i w:val="0"/>
                      <w:caps w:val="0"/>
                      <w:color w:val="FF0000"/>
                      <w:spacing w:val="0"/>
                      <w:w w:val="100"/>
                      <w:kern w:val="0"/>
                      <w:sz w:val="24"/>
                      <w:szCs w:val="24"/>
                      <w:lang w:val="en-US" w:eastAsia="zh-CN" w:bidi="ar-SA"/>
                    </w:rPr>
                    <w:t>（进口）</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8827" w:type="dxa"/>
                  <w:gridSpan w:val="5"/>
                  <w:tcBorders>
                    <w:top w:val="single" w:color="000000" w:sz="6" w:space="0"/>
                    <w:left w:val="single" w:color="000000" w:sz="6" w:space="0"/>
                    <w:bottom w:val="nil"/>
                    <w:right w:val="nil"/>
                  </w:tcBorders>
                  <w:vAlign w:val="center"/>
                </w:tcPr>
                <w:p>
                  <w:pPr>
                    <w:widowControl/>
                    <w:snapToGrid/>
                    <w:spacing w:before="0" w:beforeAutospacing="0" w:after="0" w:afterAutospacing="0" w:line="240" w:lineRule="auto"/>
                    <w:jc w:val="left"/>
                    <w:textAlignment w:val="baseline"/>
                    <w:rPr>
                      <w:rStyle w:val="39"/>
                      <w:rFonts w:ascii="宋体" w:hAnsi="宋体"/>
                      <w:b w:val="0"/>
                      <w:i w:val="0"/>
                      <w:caps w:val="0"/>
                      <w:color w:val="FF0000"/>
                      <w:spacing w:val="0"/>
                      <w:w w:val="100"/>
                      <w:kern w:val="0"/>
                      <w:sz w:val="24"/>
                      <w:szCs w:val="24"/>
                      <w:lang w:val="en-US" w:eastAsia="zh-CN" w:bidi="ar-SA"/>
                    </w:rPr>
                  </w:pPr>
                </w:p>
              </w:tc>
            </w:tr>
          </w:tbl>
          <w:p>
            <w:pPr>
              <w:widowControl/>
              <w:snapToGrid/>
              <w:spacing w:before="0" w:beforeAutospacing="0" w:after="0" w:afterAutospacing="0" w:line="240" w:lineRule="auto"/>
              <w:jc w:val="left"/>
              <w:textAlignment w:val="baseline"/>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restart"/>
            <w:tcBorders>
              <w:top w:val="single" w:color="auto" w:sz="6" w:space="0"/>
              <w:left w:val="single" w:color="auto" w:sz="6" w:space="0"/>
              <w:right w:val="nil"/>
            </w:tcBorders>
            <w:noWrap w:val="0"/>
            <w:vAlign w:val="center"/>
          </w:tcPr>
          <w:p>
            <w:pPr>
              <w:widowControl/>
              <w:snapToGrid/>
              <w:spacing w:before="0" w:beforeAutospacing="1" w:after="0" w:afterAutospacing="1" w:line="240" w:lineRule="auto"/>
              <w:jc w:val="left"/>
              <w:textAlignment w:val="baseline"/>
              <w:rPr>
                <w:rFonts w:ascii="宋体" w:hAnsi="宋体" w:cs="宋体"/>
                <w:b/>
                <w:kern w:val="0"/>
                <w:sz w:val="24"/>
                <w:szCs w:val="24"/>
              </w:rPr>
            </w:pPr>
            <w:r>
              <w:rPr>
                <w:rStyle w:val="39"/>
                <w:rFonts w:ascii="宋体" w:hAnsi="宋体"/>
                <w:b/>
                <w:i w:val="0"/>
                <w:caps w:val="0"/>
                <w:spacing w:val="0"/>
                <w:w w:val="100"/>
                <w:kern w:val="0"/>
                <w:sz w:val="24"/>
                <w:szCs w:val="24"/>
                <w:lang w:val="en-US" w:eastAsia="zh-CN" w:bidi="ar-SA"/>
              </w:rPr>
              <w:t>技术要求</w:t>
            </w:r>
          </w:p>
        </w:tc>
        <w:tc>
          <w:tcPr>
            <w:tcW w:w="1123" w:type="dxa"/>
            <w:tcBorders>
              <w:top w:val="single" w:color="auto" w:sz="6" w:space="0"/>
              <w:left w:val="single" w:color="auto" w:sz="6" w:space="0"/>
              <w:bottom w:val="nil"/>
              <w:right w:val="nil"/>
            </w:tcBorders>
            <w:noWrap w:val="0"/>
            <w:vAlign w:val="center"/>
          </w:tcPr>
          <w:p>
            <w:pPr>
              <w:widowControl/>
              <w:snapToGrid/>
              <w:spacing w:before="0" w:beforeAutospacing="1" w:after="0" w:afterAutospacing="1" w:line="240" w:lineRule="auto"/>
              <w:jc w:val="center"/>
              <w:textAlignment w:val="baseline"/>
              <w:rPr>
                <w:rFonts w:hint="eastAsia" w:ascii="宋体" w:hAnsi="宋体" w:cs="宋体"/>
                <w:color w:val="auto"/>
                <w:kern w:val="0"/>
                <w:sz w:val="24"/>
                <w:szCs w:val="24"/>
              </w:rPr>
            </w:pPr>
            <w:r>
              <w:rPr>
                <w:rStyle w:val="39"/>
                <w:rFonts w:ascii="宋体" w:hAnsi="宋体" w:cs="宋体"/>
                <w:b/>
                <w:bCs/>
                <w:i w:val="0"/>
                <w:caps w:val="0"/>
                <w:color w:val="FF0000"/>
                <w:spacing w:val="0"/>
                <w:w w:val="100"/>
                <w:kern w:val="0"/>
                <w:sz w:val="24"/>
                <w:szCs w:val="24"/>
                <w:lang w:val="en-US" w:eastAsia="zh-CN" w:bidi="ar-SA"/>
              </w:rPr>
              <w:t>序号</w:t>
            </w:r>
          </w:p>
        </w:tc>
        <w:tc>
          <w:tcPr>
            <w:tcW w:w="5415" w:type="dxa"/>
            <w:tcBorders>
              <w:top w:val="single" w:color="auto" w:sz="6" w:space="0"/>
              <w:left w:val="single" w:color="auto" w:sz="6" w:space="0"/>
              <w:bottom w:val="nil"/>
              <w:right w:val="nil"/>
            </w:tcBorders>
            <w:noWrap w:val="0"/>
            <w:vAlign w:val="center"/>
          </w:tcPr>
          <w:p>
            <w:pPr>
              <w:widowControl/>
              <w:snapToGrid/>
              <w:spacing w:before="0" w:beforeAutospacing="1" w:after="0" w:afterAutospacing="1" w:line="240" w:lineRule="auto"/>
              <w:jc w:val="center"/>
              <w:textAlignment w:val="baseline"/>
              <w:rPr>
                <w:color w:val="auto"/>
              </w:rPr>
            </w:pPr>
            <w:r>
              <w:rPr>
                <w:rStyle w:val="39"/>
                <w:rFonts w:ascii="宋体" w:hAnsi="宋体" w:cs="宋体"/>
                <w:b/>
                <w:bCs/>
                <w:i w:val="0"/>
                <w:caps w:val="0"/>
                <w:color w:val="FF0000"/>
                <w:spacing w:val="0"/>
                <w:w w:val="100"/>
                <w:kern w:val="0"/>
                <w:sz w:val="24"/>
                <w:szCs w:val="24"/>
                <w:lang w:val="en-US" w:eastAsia="zh-CN" w:bidi="ar-SA"/>
              </w:rPr>
              <w:t>具体参数要求</w:t>
            </w:r>
          </w:p>
        </w:tc>
        <w:tc>
          <w:tcPr>
            <w:tcW w:w="2342" w:type="dxa"/>
            <w:tcBorders>
              <w:top w:val="single" w:color="auto" w:sz="6" w:space="0"/>
              <w:left w:val="single" w:color="auto" w:sz="6" w:space="0"/>
              <w:bottom w:val="nil"/>
              <w:right w:val="nil"/>
            </w:tcBorders>
            <w:noWrap w:val="0"/>
            <w:vAlign w:val="center"/>
          </w:tcPr>
          <w:p>
            <w:pPr>
              <w:widowControl/>
              <w:snapToGrid/>
              <w:spacing w:before="0" w:beforeAutospacing="1" w:after="0" w:afterAutospacing="1" w:line="240" w:lineRule="auto"/>
              <w:jc w:val="center"/>
              <w:textAlignment w:val="baseline"/>
              <w:rPr>
                <w:color w:val="auto"/>
              </w:rPr>
            </w:pPr>
            <w:r>
              <w:rPr>
                <w:rStyle w:val="39"/>
                <w:rFonts w:ascii="宋体" w:hAnsi="宋体" w:cs="宋体"/>
                <w:b/>
                <w:bCs/>
                <w:i w:val="0"/>
                <w:caps w:val="0"/>
                <w:color w:val="FF0000"/>
                <w:spacing w:val="0"/>
                <w:w w:val="100"/>
                <w:kern w:val="0"/>
                <w:sz w:val="24"/>
                <w:szCs w:val="24"/>
                <w:lang w:val="en-US" w:eastAsia="zh-CN" w:bidi="ar-SA"/>
              </w:rPr>
              <w:t>评分分值（合计45分）</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napToGrid/>
              <w:spacing w:before="0" w:beforeAutospacing="1" w:after="0" w:afterAutospacing="1" w:line="240" w:lineRule="auto"/>
              <w:jc w:val="left"/>
              <w:textAlignment w:val="baseline"/>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napToGrid/>
              <w:spacing w:before="0" w:beforeAutospacing="1" w:after="0" w:afterAutospacing="1" w:line="240" w:lineRule="auto"/>
              <w:ind w:firstLine="420" w:firstLineChars="200"/>
              <w:jc w:val="both"/>
              <w:textAlignment w:val="baseline"/>
              <w:rPr>
                <w:rFonts w:hint="eastAsia" w:ascii="宋体" w:hAnsi="宋体" w:cs="宋体"/>
                <w:color w:val="auto"/>
                <w:sz w:val="24"/>
                <w:szCs w:val="24"/>
                <w:lang w:val="en-US" w:eastAsia="zh-CN"/>
              </w:rPr>
            </w:pPr>
            <w:r>
              <w:rPr>
                <w:rStyle w:val="39"/>
                <w:rFonts w:ascii="Times New Roman" w:hAnsi="Times New Roman" w:eastAsia="等线"/>
                <w:b w:val="0"/>
                <w:i w:val="0"/>
                <w:caps w:val="0"/>
                <w:color w:val="FF0000"/>
                <w:spacing w:val="0"/>
                <w:w w:val="100"/>
                <w:kern w:val="2"/>
                <w:sz w:val="21"/>
                <w:szCs w:val="21"/>
                <w:lang w:val="en-US" w:eastAsia="zh-CN" w:bidi="ar-SA"/>
              </w:rPr>
              <w:t>▲</w:t>
            </w:r>
            <w:r>
              <w:rPr>
                <w:rStyle w:val="39"/>
                <w:rFonts w:ascii="Times New Roman" w:hAnsi="Times New Roman" w:eastAsia="等线"/>
                <w:b w:val="0"/>
                <w:i w:val="0"/>
                <w:caps w:val="0"/>
                <w:spacing w:val="0"/>
                <w:w w:val="100"/>
                <w:kern w:val="2"/>
                <w:sz w:val="21"/>
                <w:szCs w:val="21"/>
                <w:lang w:val="en-US" w:eastAsia="zh-CN" w:bidi="ar-SA"/>
              </w:rPr>
              <w:t>1</w:t>
            </w:r>
          </w:p>
        </w:tc>
        <w:tc>
          <w:tcPr>
            <w:tcW w:w="5415" w:type="dxa"/>
            <w:tcBorders>
              <w:top w:val="single" w:color="auto" w:sz="6" w:space="0"/>
              <w:left w:val="single" w:color="auto" w:sz="6" w:space="0"/>
              <w:bottom w:val="nil"/>
              <w:right w:val="nil"/>
            </w:tcBorders>
            <w:noWrap w:val="0"/>
            <w:vAlign w:val="center"/>
          </w:tcPr>
          <w:p>
            <w:pPr>
              <w:widowControl/>
              <w:snapToGrid/>
              <w:spacing w:before="0" w:beforeAutospacing="1" w:after="0" w:afterAutospacing="1" w:line="240" w:lineRule="auto"/>
              <w:jc w:val="left"/>
              <w:textAlignment w:val="baseline"/>
              <w:rPr>
                <w:rFonts w:ascii="宋体" w:hAnsi="宋体" w:eastAsia="宋体" w:cs="宋体"/>
                <w:color w:val="auto"/>
                <w:kern w:val="0"/>
                <w:sz w:val="24"/>
                <w:szCs w:val="24"/>
                <w:lang w:val="en-US" w:eastAsia="zh-CN" w:bidi="ar-SA"/>
              </w:rPr>
            </w:pPr>
            <w:r>
              <w:rPr>
                <w:rStyle w:val="39"/>
                <w:rFonts w:ascii="宋体" w:hAnsi="宋体"/>
                <w:b w:val="0"/>
                <w:i w:val="0"/>
                <w:caps w:val="0"/>
                <w:color w:val="000000"/>
                <w:spacing w:val="0"/>
                <w:w w:val="100"/>
                <w:kern w:val="0"/>
                <w:sz w:val="24"/>
                <w:szCs w:val="24"/>
                <w:lang w:val="en-US" w:eastAsia="zh-CN" w:bidi="ar-SA"/>
              </w:rPr>
              <w:t>▲中文触屏操作：采用点阵式LCD中文触摸屏为操作界面，查看方便，操作简单，同一屏幕可显示3个检测数据。</w:t>
            </w:r>
          </w:p>
        </w:tc>
        <w:tc>
          <w:tcPr>
            <w:tcW w:w="2342" w:type="dxa"/>
            <w:tcBorders>
              <w:top w:val="single" w:color="auto" w:sz="6" w:space="0"/>
              <w:left w:val="single" w:color="auto" w:sz="6" w:space="0"/>
              <w:bottom w:val="nil"/>
              <w:right w:val="nil"/>
            </w:tcBorders>
            <w:noWrap w:val="0"/>
            <w:vAlign w:val="center"/>
          </w:tcPr>
          <w:p>
            <w:pPr>
              <w:widowControl/>
              <w:snapToGrid/>
              <w:spacing w:before="0" w:beforeAutospacing="1" w:after="0" w:afterAutospacing="1" w:line="240" w:lineRule="auto"/>
              <w:jc w:val="center"/>
              <w:textAlignment w:val="baseline"/>
              <w:rPr>
                <w:rFonts w:hint="default" w:ascii="宋体" w:hAnsi="宋体" w:eastAsia="宋体" w:cs="宋体"/>
                <w:color w:val="auto"/>
                <w:kern w:val="0"/>
                <w:sz w:val="24"/>
                <w:szCs w:val="24"/>
                <w:lang w:val="en-US" w:eastAsia="zh-CN" w:bidi="ar-SA"/>
              </w:rPr>
            </w:pPr>
            <w:r>
              <w:rPr>
                <w:rStyle w:val="39"/>
                <w:rFonts w:ascii="宋体" w:hAnsi="宋体"/>
                <w:b w:val="0"/>
                <w:i w:val="0"/>
                <w:caps w:val="0"/>
                <w:color w:val="000000"/>
                <w:spacing w:val="0"/>
                <w:w w:val="100"/>
                <w:kern w:val="0"/>
                <w:sz w:val="24"/>
                <w:szCs w:val="24"/>
                <w:lang w:val="en-US" w:eastAsia="zh-CN" w:bidi="ar-SA"/>
              </w:rPr>
              <w:t>5</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napToGrid/>
              <w:spacing w:before="0" w:beforeAutospacing="1" w:after="0" w:afterAutospacing="1" w:line="240" w:lineRule="auto"/>
              <w:jc w:val="left"/>
              <w:textAlignment w:val="baseline"/>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napToGrid/>
              <w:spacing w:before="0" w:beforeAutospacing="1" w:after="0" w:afterAutospacing="1" w:line="240" w:lineRule="auto"/>
              <w:jc w:val="center"/>
              <w:textAlignment w:val="baseline"/>
              <w:rPr>
                <w:rFonts w:hint="eastAsia" w:ascii="宋体" w:hAnsi="宋体" w:cs="宋体"/>
                <w:color w:val="auto"/>
                <w:sz w:val="24"/>
                <w:szCs w:val="24"/>
                <w:lang w:val="en-US" w:eastAsia="zh-CN"/>
              </w:rPr>
            </w:pPr>
            <w:r>
              <w:rPr>
                <w:rStyle w:val="39"/>
                <w:rFonts w:ascii="Times New Roman" w:hAnsi="Times New Roman" w:eastAsia="等线"/>
                <w:b w:val="0"/>
                <w:i w:val="0"/>
                <w:caps w:val="0"/>
                <w:color w:val="FF0000"/>
                <w:spacing w:val="0"/>
                <w:w w:val="100"/>
                <w:kern w:val="2"/>
                <w:sz w:val="21"/>
                <w:szCs w:val="21"/>
                <w:lang w:val="en-US" w:eastAsia="zh-CN" w:bidi="ar-SA"/>
              </w:rPr>
              <w:t>▲</w:t>
            </w:r>
            <w:r>
              <w:rPr>
                <w:rStyle w:val="39"/>
                <w:rFonts w:ascii="宋体" w:hAnsi="宋体"/>
                <w:b w:val="0"/>
                <w:i w:val="0"/>
                <w:caps w:val="0"/>
                <w:color w:val="000000"/>
                <w:spacing w:val="0"/>
                <w:w w:val="100"/>
                <w:kern w:val="0"/>
                <w:sz w:val="24"/>
                <w:szCs w:val="24"/>
                <w:lang w:val="en-US" w:eastAsia="zh-CN" w:bidi="ar-SA"/>
              </w:rPr>
              <w:t>2</w:t>
            </w:r>
          </w:p>
        </w:tc>
        <w:tc>
          <w:tcPr>
            <w:tcW w:w="5415" w:type="dxa"/>
            <w:tcBorders>
              <w:top w:val="single" w:color="auto" w:sz="6" w:space="0"/>
              <w:left w:val="single" w:color="auto" w:sz="6" w:space="0"/>
              <w:bottom w:val="nil"/>
              <w:right w:val="nil"/>
            </w:tcBorders>
            <w:noWrap w:val="0"/>
            <w:vAlign w:val="center"/>
          </w:tcPr>
          <w:p>
            <w:pPr>
              <w:widowControl/>
              <w:snapToGrid/>
              <w:spacing w:before="0" w:beforeAutospacing="1" w:after="0" w:afterAutospacing="1" w:line="240" w:lineRule="auto"/>
              <w:jc w:val="left"/>
              <w:textAlignment w:val="baseline"/>
              <w:rPr>
                <w:rFonts w:ascii="宋体" w:hAnsi="宋体" w:eastAsia="宋体" w:cs="宋体"/>
                <w:color w:val="auto"/>
                <w:kern w:val="0"/>
                <w:sz w:val="24"/>
                <w:szCs w:val="24"/>
                <w:lang w:val="en-US" w:eastAsia="zh-CN" w:bidi="ar-SA"/>
              </w:rPr>
            </w:pPr>
            <w:r>
              <w:rPr>
                <w:rStyle w:val="39"/>
                <w:rFonts w:ascii="宋体" w:hAnsi="宋体"/>
                <w:b w:val="0"/>
                <w:i w:val="0"/>
                <w:caps w:val="0"/>
                <w:color w:val="000000"/>
                <w:spacing w:val="0"/>
                <w:w w:val="100"/>
                <w:kern w:val="0"/>
                <w:sz w:val="24"/>
                <w:szCs w:val="24"/>
                <w:lang w:val="en-US" w:eastAsia="zh-CN" w:bidi="ar-SA"/>
              </w:rPr>
              <w:t>▲超大数据存储：可储存100个患者的数据</w:t>
            </w:r>
          </w:p>
        </w:tc>
        <w:tc>
          <w:tcPr>
            <w:tcW w:w="2342" w:type="dxa"/>
            <w:tcBorders>
              <w:top w:val="single" w:color="auto" w:sz="6" w:space="0"/>
              <w:left w:val="single" w:color="auto" w:sz="6" w:space="0"/>
              <w:bottom w:val="nil"/>
              <w:right w:val="nil"/>
            </w:tcBorders>
            <w:noWrap w:val="0"/>
            <w:vAlign w:val="center"/>
          </w:tcPr>
          <w:p>
            <w:pPr>
              <w:widowControl/>
              <w:snapToGrid/>
              <w:spacing w:before="0" w:beforeAutospacing="1" w:after="0" w:afterAutospacing="1" w:line="240" w:lineRule="auto"/>
              <w:jc w:val="center"/>
              <w:textAlignment w:val="baseline"/>
              <w:rPr>
                <w:rFonts w:hint="default" w:ascii="宋体" w:hAnsi="宋体" w:eastAsia="宋体" w:cs="宋体"/>
                <w:color w:val="auto"/>
                <w:kern w:val="0"/>
                <w:sz w:val="24"/>
                <w:szCs w:val="24"/>
                <w:lang w:val="en-US" w:eastAsia="zh-CN" w:bidi="ar-SA"/>
              </w:rPr>
            </w:pPr>
            <w:r>
              <w:rPr>
                <w:rStyle w:val="39"/>
                <w:rFonts w:ascii="宋体" w:hAnsi="宋体"/>
                <w:b w:val="0"/>
                <w:i w:val="0"/>
                <w:caps w:val="0"/>
                <w:color w:val="000000"/>
                <w:spacing w:val="0"/>
                <w:w w:val="100"/>
                <w:kern w:val="0"/>
                <w:sz w:val="24"/>
                <w:szCs w:val="24"/>
                <w:lang w:val="en-US" w:eastAsia="zh-CN" w:bidi="ar-SA"/>
              </w:rPr>
              <w:t>5</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napToGrid/>
              <w:spacing w:before="0" w:beforeAutospacing="1" w:after="0" w:afterAutospacing="1" w:line="240" w:lineRule="auto"/>
              <w:jc w:val="left"/>
              <w:textAlignment w:val="baseline"/>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napToGrid/>
              <w:spacing w:before="0" w:beforeAutospacing="1" w:after="0" w:afterAutospacing="1" w:line="240" w:lineRule="auto"/>
              <w:ind w:firstLine="420" w:firstLineChars="200"/>
              <w:jc w:val="both"/>
              <w:textAlignment w:val="baseline"/>
              <w:rPr>
                <w:rFonts w:hint="eastAsia" w:ascii="宋体" w:hAnsi="宋体" w:cs="宋体"/>
                <w:color w:val="auto"/>
                <w:sz w:val="24"/>
                <w:szCs w:val="24"/>
                <w:lang w:val="en-US" w:eastAsia="zh-CN"/>
              </w:rPr>
            </w:pPr>
            <w:r>
              <w:rPr>
                <w:rStyle w:val="39"/>
                <w:rFonts w:ascii="Times New Roman" w:hAnsi="Times New Roman" w:eastAsia="等线"/>
                <w:b w:val="0"/>
                <w:i w:val="0"/>
                <w:caps w:val="0"/>
                <w:color w:val="FF0000"/>
                <w:spacing w:val="0"/>
                <w:w w:val="100"/>
                <w:kern w:val="2"/>
                <w:sz w:val="21"/>
                <w:szCs w:val="21"/>
                <w:lang w:val="en-US" w:eastAsia="zh-CN" w:bidi="ar-SA"/>
              </w:rPr>
              <w:t>▲</w:t>
            </w:r>
            <w:r>
              <w:rPr>
                <w:rStyle w:val="39"/>
                <w:rFonts w:ascii="宋体" w:hAnsi="宋体"/>
                <w:b w:val="0"/>
                <w:i w:val="0"/>
                <w:caps w:val="0"/>
                <w:color w:val="000000"/>
                <w:spacing w:val="0"/>
                <w:w w:val="100"/>
                <w:kern w:val="0"/>
                <w:sz w:val="24"/>
                <w:szCs w:val="24"/>
                <w:lang w:val="en-US" w:eastAsia="zh-CN" w:bidi="ar-SA"/>
              </w:rPr>
              <w:t>3</w:t>
            </w:r>
          </w:p>
        </w:tc>
        <w:tc>
          <w:tcPr>
            <w:tcW w:w="5415" w:type="dxa"/>
            <w:tcBorders>
              <w:top w:val="single" w:color="auto" w:sz="6" w:space="0"/>
              <w:left w:val="single" w:color="auto" w:sz="6" w:space="0"/>
              <w:bottom w:val="nil"/>
              <w:right w:val="nil"/>
            </w:tcBorders>
            <w:noWrap w:val="0"/>
            <w:vAlign w:val="center"/>
          </w:tcPr>
          <w:p>
            <w:pPr>
              <w:widowControl/>
              <w:snapToGrid/>
              <w:spacing w:before="0" w:beforeAutospacing="1" w:after="0" w:afterAutospacing="1" w:line="240" w:lineRule="auto"/>
              <w:jc w:val="left"/>
              <w:textAlignment w:val="baseline"/>
              <w:rPr>
                <w:rFonts w:ascii="宋体" w:hAnsi="宋体" w:eastAsia="宋体" w:cs="宋体"/>
                <w:color w:val="auto"/>
                <w:kern w:val="0"/>
                <w:sz w:val="24"/>
                <w:szCs w:val="24"/>
                <w:lang w:val="en-US" w:eastAsia="zh-CN" w:bidi="ar-SA"/>
              </w:rPr>
            </w:pPr>
            <w:r>
              <w:rPr>
                <w:rStyle w:val="39"/>
                <w:rFonts w:ascii="宋体" w:hAnsi="宋体"/>
                <w:b w:val="0"/>
                <w:i w:val="0"/>
                <w:caps w:val="0"/>
                <w:color w:val="000000"/>
                <w:spacing w:val="0"/>
                <w:w w:val="100"/>
                <w:kern w:val="0"/>
                <w:sz w:val="24"/>
                <w:szCs w:val="24"/>
                <w:lang w:val="en-US" w:eastAsia="zh-CN" w:bidi="ar-SA"/>
              </w:rPr>
              <w:t>▲条码识别功能：利用条形码读码器的扫描功能快速、准确的核对、录入医生、患者ID。</w:t>
            </w:r>
          </w:p>
        </w:tc>
        <w:tc>
          <w:tcPr>
            <w:tcW w:w="2342" w:type="dxa"/>
            <w:tcBorders>
              <w:top w:val="single" w:color="auto" w:sz="6" w:space="0"/>
              <w:left w:val="single" w:color="auto" w:sz="6" w:space="0"/>
              <w:bottom w:val="nil"/>
              <w:right w:val="nil"/>
            </w:tcBorders>
            <w:noWrap w:val="0"/>
            <w:vAlign w:val="center"/>
          </w:tcPr>
          <w:p>
            <w:pPr>
              <w:widowControl/>
              <w:snapToGrid/>
              <w:spacing w:before="0" w:beforeAutospacing="1" w:after="0" w:afterAutospacing="1" w:line="240" w:lineRule="auto"/>
              <w:jc w:val="center"/>
              <w:textAlignment w:val="baseline"/>
              <w:rPr>
                <w:rFonts w:hint="default" w:ascii="宋体" w:hAnsi="宋体" w:eastAsia="宋体" w:cs="宋体"/>
                <w:color w:val="auto"/>
                <w:kern w:val="0"/>
                <w:sz w:val="24"/>
                <w:szCs w:val="24"/>
                <w:lang w:val="en-US" w:eastAsia="zh-CN" w:bidi="ar-SA"/>
              </w:rPr>
            </w:pPr>
            <w:r>
              <w:rPr>
                <w:rStyle w:val="39"/>
                <w:rFonts w:ascii="宋体" w:hAnsi="宋体"/>
                <w:b w:val="0"/>
                <w:i w:val="0"/>
                <w:caps w:val="0"/>
                <w:color w:val="000000"/>
                <w:spacing w:val="0"/>
                <w:w w:val="100"/>
                <w:kern w:val="0"/>
                <w:sz w:val="24"/>
                <w:szCs w:val="24"/>
                <w:lang w:val="en-US" w:eastAsia="zh-CN" w:bidi="ar-SA"/>
              </w:rPr>
              <w:t>5</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napToGrid/>
              <w:spacing w:before="0" w:beforeAutospacing="1" w:after="0" w:afterAutospacing="1" w:line="240" w:lineRule="auto"/>
              <w:jc w:val="left"/>
              <w:textAlignment w:val="baseline"/>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napToGrid/>
              <w:spacing w:before="0" w:beforeAutospacing="1" w:after="0" w:afterAutospacing="1" w:line="240" w:lineRule="auto"/>
              <w:jc w:val="center"/>
              <w:textAlignment w:val="baseline"/>
              <w:rPr>
                <w:rFonts w:hint="eastAsia" w:ascii="宋体" w:hAnsi="宋体" w:cs="宋体"/>
                <w:color w:val="auto"/>
                <w:sz w:val="24"/>
                <w:szCs w:val="24"/>
                <w:lang w:val="en-US" w:eastAsia="zh-CN"/>
              </w:rPr>
            </w:pPr>
            <w:r>
              <w:rPr>
                <w:rStyle w:val="39"/>
                <w:rFonts w:ascii="宋体" w:hAnsi="宋体"/>
                <w:b w:val="0"/>
                <w:i w:val="0"/>
                <w:caps w:val="0"/>
                <w:color w:val="000000"/>
                <w:spacing w:val="0"/>
                <w:w w:val="100"/>
                <w:kern w:val="0"/>
                <w:sz w:val="24"/>
                <w:szCs w:val="24"/>
                <w:lang w:val="en-US" w:eastAsia="zh-CN" w:bidi="ar-SA"/>
              </w:rPr>
              <w:t>4</w:t>
            </w:r>
          </w:p>
        </w:tc>
        <w:tc>
          <w:tcPr>
            <w:tcW w:w="5415" w:type="dxa"/>
            <w:tcBorders>
              <w:top w:val="single" w:color="auto" w:sz="6" w:space="0"/>
              <w:left w:val="single" w:color="auto" w:sz="6" w:space="0"/>
              <w:bottom w:val="nil"/>
              <w:right w:val="nil"/>
            </w:tcBorders>
            <w:noWrap w:val="0"/>
            <w:vAlign w:val="center"/>
          </w:tcPr>
          <w:p>
            <w:pPr>
              <w:widowControl/>
              <w:snapToGrid/>
              <w:spacing w:before="0" w:beforeAutospacing="1" w:after="0" w:afterAutospacing="1" w:line="240" w:lineRule="auto"/>
              <w:jc w:val="left"/>
              <w:textAlignment w:val="baseline"/>
              <w:rPr>
                <w:rFonts w:ascii="宋体" w:hAnsi="宋体" w:eastAsia="宋体" w:cs="宋体"/>
                <w:color w:val="auto"/>
                <w:kern w:val="0"/>
                <w:sz w:val="24"/>
                <w:szCs w:val="24"/>
                <w:lang w:val="en-US" w:eastAsia="zh-CN" w:bidi="ar-SA"/>
              </w:rPr>
            </w:pPr>
            <w:r>
              <w:rPr>
                <w:rStyle w:val="39"/>
                <w:rFonts w:ascii="宋体" w:hAnsi="宋体"/>
                <w:b w:val="0"/>
                <w:i w:val="0"/>
                <w:caps w:val="0"/>
                <w:color w:val="000000"/>
                <w:spacing w:val="0"/>
                <w:w w:val="100"/>
                <w:kern w:val="0"/>
                <w:sz w:val="24"/>
                <w:szCs w:val="24"/>
                <w:lang w:val="en-US" w:eastAsia="zh-CN" w:bidi="ar-SA"/>
              </w:rPr>
              <w:t>可对早产儿进行黄疸测量，直接读取血清总胆红素值的无创检测设备。</w:t>
            </w:r>
          </w:p>
        </w:tc>
        <w:tc>
          <w:tcPr>
            <w:tcW w:w="2342" w:type="dxa"/>
            <w:tcBorders>
              <w:top w:val="single" w:color="auto" w:sz="6" w:space="0"/>
              <w:left w:val="single" w:color="auto" w:sz="6" w:space="0"/>
              <w:bottom w:val="nil"/>
              <w:right w:val="nil"/>
            </w:tcBorders>
            <w:noWrap w:val="0"/>
            <w:vAlign w:val="center"/>
          </w:tcPr>
          <w:p>
            <w:pPr>
              <w:widowControl/>
              <w:snapToGrid/>
              <w:spacing w:before="0" w:beforeAutospacing="1" w:after="0" w:afterAutospacing="1" w:line="240" w:lineRule="auto"/>
              <w:jc w:val="center"/>
              <w:textAlignment w:val="baseline"/>
              <w:rPr>
                <w:rFonts w:hint="default" w:ascii="宋体" w:hAnsi="宋体" w:eastAsia="宋体" w:cs="宋体"/>
                <w:color w:val="auto"/>
                <w:kern w:val="0"/>
                <w:sz w:val="24"/>
                <w:szCs w:val="24"/>
                <w:lang w:val="en-US" w:eastAsia="zh-CN" w:bidi="ar-SA"/>
              </w:rPr>
            </w:pPr>
            <w:r>
              <w:rPr>
                <w:rStyle w:val="39"/>
                <w:rFonts w:ascii="宋体" w:hAnsi="宋体"/>
                <w:b w:val="0"/>
                <w:i w:val="0"/>
                <w:caps w:val="0"/>
                <w:color w:val="000000"/>
                <w:spacing w:val="0"/>
                <w:w w:val="100"/>
                <w:kern w:val="0"/>
                <w:sz w:val="24"/>
                <w:szCs w:val="24"/>
                <w:lang w:val="en-US" w:eastAsia="zh-CN" w:bidi="ar-SA"/>
              </w:rPr>
              <w:t>3</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napToGrid/>
              <w:spacing w:before="0" w:beforeAutospacing="1" w:after="0" w:afterAutospacing="1" w:line="240" w:lineRule="auto"/>
              <w:jc w:val="left"/>
              <w:textAlignment w:val="baseline"/>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napToGrid/>
              <w:spacing w:before="0" w:beforeAutospacing="1" w:after="0" w:afterAutospacing="1" w:line="240" w:lineRule="auto"/>
              <w:jc w:val="center"/>
              <w:textAlignment w:val="baseline"/>
              <w:rPr>
                <w:rFonts w:hint="eastAsia" w:ascii="宋体" w:hAnsi="宋体" w:cs="宋体"/>
                <w:color w:val="auto"/>
                <w:sz w:val="24"/>
                <w:szCs w:val="24"/>
                <w:lang w:val="en-US" w:eastAsia="zh-CN"/>
              </w:rPr>
            </w:pPr>
            <w:r>
              <w:rPr>
                <w:rStyle w:val="39"/>
                <w:rFonts w:ascii="宋体" w:hAnsi="宋体"/>
                <w:b w:val="0"/>
                <w:i w:val="0"/>
                <w:caps w:val="0"/>
                <w:color w:val="000000"/>
                <w:spacing w:val="0"/>
                <w:w w:val="100"/>
                <w:kern w:val="0"/>
                <w:sz w:val="24"/>
                <w:szCs w:val="24"/>
                <w:lang w:val="en-US" w:eastAsia="zh-CN" w:bidi="ar-SA"/>
              </w:rPr>
              <w:t>5</w:t>
            </w:r>
          </w:p>
        </w:tc>
        <w:tc>
          <w:tcPr>
            <w:tcW w:w="5415" w:type="dxa"/>
            <w:tcBorders>
              <w:top w:val="single" w:color="auto" w:sz="6" w:space="0"/>
              <w:left w:val="single" w:color="auto" w:sz="6" w:space="0"/>
              <w:bottom w:val="nil"/>
              <w:right w:val="nil"/>
            </w:tcBorders>
            <w:noWrap w:val="0"/>
            <w:vAlign w:val="center"/>
          </w:tcPr>
          <w:p>
            <w:pPr>
              <w:widowControl/>
              <w:snapToGrid/>
              <w:spacing w:before="0" w:beforeAutospacing="1" w:after="0" w:afterAutospacing="1" w:line="240" w:lineRule="auto"/>
              <w:jc w:val="left"/>
              <w:textAlignment w:val="baseline"/>
              <w:rPr>
                <w:rFonts w:ascii="宋体" w:hAnsi="宋体" w:eastAsia="宋体" w:cs="宋体"/>
                <w:color w:val="auto"/>
                <w:kern w:val="0"/>
                <w:sz w:val="24"/>
                <w:szCs w:val="24"/>
                <w:lang w:val="en-US" w:eastAsia="zh-CN" w:bidi="ar-SA"/>
              </w:rPr>
            </w:pPr>
            <w:r>
              <w:rPr>
                <w:rStyle w:val="39"/>
                <w:rFonts w:ascii="宋体" w:hAnsi="宋体"/>
                <w:b w:val="0"/>
                <w:i w:val="0"/>
                <w:caps w:val="0"/>
                <w:color w:val="000000"/>
                <w:spacing w:val="0"/>
                <w:w w:val="100"/>
                <w:kern w:val="0"/>
                <w:sz w:val="24"/>
                <w:szCs w:val="24"/>
                <w:lang w:val="en-US" w:eastAsia="zh-CN" w:bidi="ar-SA"/>
              </w:rPr>
              <w:t>测量原理：双光程测量双波长的光学浓度差来确定皮下组织的黄度，适合所有肤色条件</w:t>
            </w:r>
          </w:p>
        </w:tc>
        <w:tc>
          <w:tcPr>
            <w:tcW w:w="2342" w:type="dxa"/>
            <w:tcBorders>
              <w:top w:val="single" w:color="auto" w:sz="6" w:space="0"/>
              <w:left w:val="single" w:color="auto" w:sz="6" w:space="0"/>
              <w:bottom w:val="nil"/>
              <w:right w:val="nil"/>
            </w:tcBorders>
            <w:noWrap w:val="0"/>
            <w:vAlign w:val="center"/>
          </w:tcPr>
          <w:p>
            <w:pPr>
              <w:widowControl/>
              <w:snapToGrid/>
              <w:spacing w:before="0" w:beforeAutospacing="1" w:after="0" w:afterAutospacing="1" w:line="240" w:lineRule="auto"/>
              <w:jc w:val="center"/>
              <w:textAlignment w:val="baseline"/>
              <w:rPr>
                <w:rFonts w:hint="eastAsia" w:ascii="宋体" w:hAnsi="宋体" w:eastAsia="宋体" w:cs="宋体"/>
                <w:color w:val="auto"/>
                <w:kern w:val="0"/>
                <w:sz w:val="24"/>
                <w:szCs w:val="24"/>
                <w:lang w:val="en-US" w:eastAsia="zh-CN" w:bidi="ar-SA"/>
              </w:rPr>
            </w:pPr>
            <w:r>
              <w:rPr>
                <w:rStyle w:val="39"/>
                <w:rFonts w:ascii="宋体" w:hAnsi="宋体"/>
                <w:b w:val="0"/>
                <w:i w:val="0"/>
                <w:caps w:val="0"/>
                <w:color w:val="000000"/>
                <w:spacing w:val="0"/>
                <w:w w:val="100"/>
                <w:kern w:val="0"/>
                <w:sz w:val="24"/>
                <w:szCs w:val="24"/>
                <w:lang w:val="en-US" w:eastAsia="zh-CN" w:bidi="ar-SA"/>
              </w:rPr>
              <w:t>3</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napToGrid/>
              <w:spacing w:before="0" w:beforeAutospacing="1" w:after="0" w:afterAutospacing="1" w:line="240" w:lineRule="auto"/>
              <w:jc w:val="left"/>
              <w:textAlignment w:val="baseline"/>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napToGrid/>
              <w:spacing w:before="0" w:beforeAutospacing="1" w:after="0" w:afterAutospacing="1" w:line="240" w:lineRule="auto"/>
              <w:jc w:val="center"/>
              <w:textAlignment w:val="baseline"/>
              <w:rPr>
                <w:rFonts w:hint="eastAsia" w:ascii="宋体" w:hAnsi="宋体" w:cs="宋体"/>
                <w:color w:val="auto"/>
                <w:sz w:val="24"/>
                <w:szCs w:val="24"/>
                <w:lang w:val="en-US" w:eastAsia="zh-CN"/>
              </w:rPr>
            </w:pPr>
            <w:r>
              <w:rPr>
                <w:rStyle w:val="39"/>
                <w:rFonts w:ascii="宋体" w:hAnsi="宋体"/>
                <w:b w:val="0"/>
                <w:i w:val="0"/>
                <w:caps w:val="0"/>
                <w:color w:val="000000"/>
                <w:spacing w:val="0"/>
                <w:w w:val="100"/>
                <w:kern w:val="0"/>
                <w:sz w:val="24"/>
                <w:szCs w:val="24"/>
                <w:lang w:val="en-US" w:eastAsia="zh-CN" w:bidi="ar-SA"/>
              </w:rPr>
              <w:t>6</w:t>
            </w:r>
          </w:p>
        </w:tc>
        <w:tc>
          <w:tcPr>
            <w:tcW w:w="5415" w:type="dxa"/>
            <w:tcBorders>
              <w:top w:val="single" w:color="auto" w:sz="6" w:space="0"/>
              <w:left w:val="single" w:color="auto" w:sz="6" w:space="0"/>
              <w:bottom w:val="nil"/>
              <w:right w:val="nil"/>
            </w:tcBorders>
            <w:noWrap w:val="0"/>
            <w:vAlign w:val="center"/>
          </w:tcPr>
          <w:p>
            <w:pPr>
              <w:widowControl/>
              <w:snapToGrid/>
              <w:spacing w:before="0" w:beforeAutospacing="1" w:after="0" w:afterAutospacing="1" w:line="240" w:lineRule="auto"/>
              <w:jc w:val="left"/>
              <w:textAlignment w:val="baseline"/>
              <w:rPr>
                <w:rFonts w:ascii="宋体" w:hAnsi="宋体" w:eastAsia="宋体" w:cs="宋体"/>
                <w:color w:val="auto"/>
                <w:kern w:val="0"/>
                <w:sz w:val="24"/>
                <w:szCs w:val="24"/>
                <w:lang w:val="en-US" w:eastAsia="zh-CN" w:bidi="ar-SA"/>
              </w:rPr>
            </w:pPr>
            <w:r>
              <w:rPr>
                <w:rStyle w:val="39"/>
                <w:rFonts w:ascii="宋体" w:hAnsi="宋体"/>
                <w:b w:val="0"/>
                <w:i w:val="0"/>
                <w:caps w:val="0"/>
                <w:color w:val="000000"/>
                <w:spacing w:val="0"/>
                <w:w w:val="100"/>
                <w:kern w:val="0"/>
                <w:sz w:val="24"/>
                <w:szCs w:val="24"/>
                <w:lang w:val="en-US" w:eastAsia="zh-CN" w:bidi="ar-SA"/>
              </w:rPr>
              <w:t>光源：脉冲氙弧灯，灯炮使用寿命较长（大于等于15万次测量）</w:t>
            </w:r>
          </w:p>
        </w:tc>
        <w:tc>
          <w:tcPr>
            <w:tcW w:w="2342" w:type="dxa"/>
            <w:tcBorders>
              <w:top w:val="single" w:color="auto" w:sz="6" w:space="0"/>
              <w:left w:val="single" w:color="auto" w:sz="6" w:space="0"/>
              <w:bottom w:val="nil"/>
              <w:right w:val="nil"/>
            </w:tcBorders>
            <w:noWrap w:val="0"/>
            <w:vAlign w:val="center"/>
          </w:tcPr>
          <w:p>
            <w:pPr>
              <w:widowControl/>
              <w:snapToGrid/>
              <w:spacing w:before="0" w:beforeAutospacing="1" w:after="0" w:afterAutospacing="1" w:line="240" w:lineRule="auto"/>
              <w:jc w:val="center"/>
              <w:textAlignment w:val="baseline"/>
              <w:rPr>
                <w:rFonts w:hint="default" w:ascii="宋体" w:hAnsi="宋体" w:eastAsia="宋体" w:cs="宋体"/>
                <w:color w:val="auto"/>
                <w:kern w:val="0"/>
                <w:sz w:val="24"/>
                <w:szCs w:val="24"/>
                <w:lang w:val="en-US" w:eastAsia="zh-CN" w:bidi="ar-SA"/>
              </w:rPr>
            </w:pPr>
            <w:r>
              <w:rPr>
                <w:rStyle w:val="39"/>
                <w:rFonts w:ascii="宋体" w:hAnsi="宋体"/>
                <w:b w:val="0"/>
                <w:i w:val="0"/>
                <w:caps w:val="0"/>
                <w:color w:val="000000"/>
                <w:spacing w:val="0"/>
                <w:w w:val="100"/>
                <w:kern w:val="0"/>
                <w:sz w:val="24"/>
                <w:szCs w:val="24"/>
                <w:lang w:val="en-US" w:eastAsia="zh-CN" w:bidi="ar-SA"/>
              </w:rPr>
              <w:t>3</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napToGrid/>
              <w:spacing w:before="0" w:beforeAutospacing="1" w:after="0" w:afterAutospacing="1" w:line="240" w:lineRule="auto"/>
              <w:jc w:val="left"/>
              <w:textAlignment w:val="baseline"/>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napToGrid/>
              <w:spacing w:before="0" w:beforeAutospacing="1" w:after="0" w:afterAutospacing="1" w:line="240" w:lineRule="auto"/>
              <w:jc w:val="center"/>
              <w:textAlignment w:val="baseline"/>
              <w:rPr>
                <w:rFonts w:hint="eastAsia" w:ascii="宋体" w:hAnsi="宋体" w:cs="宋体"/>
                <w:color w:val="auto"/>
                <w:sz w:val="24"/>
                <w:szCs w:val="24"/>
                <w:lang w:val="en-US" w:eastAsia="zh-CN"/>
              </w:rPr>
            </w:pPr>
            <w:r>
              <w:rPr>
                <w:rStyle w:val="39"/>
                <w:rFonts w:ascii="宋体" w:hAnsi="宋体"/>
                <w:b w:val="0"/>
                <w:i w:val="0"/>
                <w:caps w:val="0"/>
                <w:color w:val="000000"/>
                <w:spacing w:val="0"/>
                <w:w w:val="100"/>
                <w:kern w:val="0"/>
                <w:sz w:val="24"/>
                <w:szCs w:val="24"/>
                <w:lang w:val="en-US" w:eastAsia="zh-CN" w:bidi="ar-SA"/>
              </w:rPr>
              <w:t>7</w:t>
            </w:r>
          </w:p>
        </w:tc>
        <w:tc>
          <w:tcPr>
            <w:tcW w:w="5415" w:type="dxa"/>
            <w:tcBorders>
              <w:top w:val="single" w:color="auto" w:sz="6" w:space="0"/>
              <w:left w:val="single" w:color="auto" w:sz="6" w:space="0"/>
              <w:bottom w:val="nil"/>
              <w:right w:val="nil"/>
            </w:tcBorders>
            <w:noWrap w:val="0"/>
            <w:vAlign w:val="center"/>
          </w:tcPr>
          <w:p>
            <w:pPr>
              <w:widowControl/>
              <w:snapToGrid/>
              <w:spacing w:before="0" w:beforeAutospacing="1" w:after="0" w:afterAutospacing="1" w:line="240" w:lineRule="auto"/>
              <w:jc w:val="left"/>
              <w:textAlignment w:val="baseline"/>
              <w:rPr>
                <w:rFonts w:ascii="宋体" w:hAnsi="宋体" w:eastAsia="宋体" w:cs="宋体"/>
                <w:color w:val="auto"/>
                <w:kern w:val="0"/>
                <w:sz w:val="24"/>
                <w:szCs w:val="24"/>
                <w:lang w:val="en-US" w:eastAsia="zh-CN" w:bidi="ar-SA"/>
              </w:rPr>
            </w:pPr>
            <w:r>
              <w:rPr>
                <w:rStyle w:val="39"/>
                <w:rFonts w:ascii="宋体" w:hAnsi="宋体"/>
                <w:b w:val="0"/>
                <w:i w:val="0"/>
                <w:caps w:val="0"/>
                <w:color w:val="000000"/>
                <w:spacing w:val="0"/>
                <w:w w:val="100"/>
                <w:kern w:val="0"/>
                <w:sz w:val="24"/>
                <w:szCs w:val="24"/>
                <w:lang w:val="en-US" w:eastAsia="zh-CN" w:bidi="ar-SA"/>
              </w:rPr>
              <w:t>轻便小巧，便于携带：重量小于等于210克（包括内置电池）</w:t>
            </w:r>
          </w:p>
        </w:tc>
        <w:tc>
          <w:tcPr>
            <w:tcW w:w="2342" w:type="dxa"/>
            <w:tcBorders>
              <w:top w:val="single" w:color="auto" w:sz="6" w:space="0"/>
              <w:left w:val="single" w:color="auto" w:sz="6" w:space="0"/>
              <w:bottom w:val="nil"/>
              <w:right w:val="nil"/>
            </w:tcBorders>
            <w:noWrap w:val="0"/>
            <w:vAlign w:val="center"/>
          </w:tcPr>
          <w:p>
            <w:pPr>
              <w:widowControl/>
              <w:snapToGrid/>
              <w:spacing w:before="0" w:beforeAutospacing="1" w:after="0" w:afterAutospacing="1" w:line="240" w:lineRule="auto"/>
              <w:jc w:val="center"/>
              <w:textAlignment w:val="baseline"/>
              <w:rPr>
                <w:rFonts w:hint="default" w:ascii="宋体" w:hAnsi="宋体" w:eastAsia="宋体" w:cs="宋体"/>
                <w:color w:val="auto"/>
                <w:kern w:val="0"/>
                <w:sz w:val="24"/>
                <w:szCs w:val="24"/>
                <w:lang w:val="en-US" w:eastAsia="zh-CN" w:bidi="ar-SA"/>
              </w:rPr>
            </w:pPr>
            <w:r>
              <w:rPr>
                <w:rStyle w:val="39"/>
                <w:rFonts w:ascii="宋体" w:hAnsi="宋体"/>
                <w:b w:val="0"/>
                <w:i w:val="0"/>
                <w:caps w:val="0"/>
                <w:color w:val="000000"/>
                <w:spacing w:val="0"/>
                <w:w w:val="100"/>
                <w:kern w:val="0"/>
                <w:sz w:val="24"/>
                <w:szCs w:val="24"/>
                <w:lang w:val="en-US" w:eastAsia="zh-CN" w:bidi="ar-SA"/>
              </w:rPr>
              <w:t>3</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napToGrid/>
              <w:spacing w:before="0" w:beforeAutospacing="1" w:after="0" w:afterAutospacing="1" w:line="240" w:lineRule="auto"/>
              <w:jc w:val="left"/>
              <w:textAlignment w:val="baseline"/>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napToGrid/>
              <w:spacing w:before="0" w:beforeAutospacing="1" w:after="0" w:afterAutospacing="1" w:line="240" w:lineRule="auto"/>
              <w:jc w:val="center"/>
              <w:textAlignment w:val="baseline"/>
              <w:rPr>
                <w:rFonts w:hint="eastAsia" w:ascii="宋体" w:hAnsi="宋体" w:cs="宋体"/>
                <w:color w:val="auto"/>
                <w:sz w:val="24"/>
                <w:szCs w:val="24"/>
                <w:lang w:val="en-US" w:eastAsia="zh-CN"/>
              </w:rPr>
            </w:pPr>
            <w:r>
              <w:rPr>
                <w:rStyle w:val="39"/>
                <w:rFonts w:ascii="宋体" w:hAnsi="宋体"/>
                <w:b w:val="0"/>
                <w:i w:val="0"/>
                <w:caps w:val="0"/>
                <w:color w:val="000000"/>
                <w:spacing w:val="0"/>
                <w:w w:val="100"/>
                <w:kern w:val="0"/>
                <w:sz w:val="24"/>
                <w:szCs w:val="24"/>
                <w:lang w:val="en-US" w:eastAsia="zh-CN" w:bidi="ar-SA"/>
              </w:rPr>
              <w:t>8</w:t>
            </w:r>
          </w:p>
        </w:tc>
        <w:tc>
          <w:tcPr>
            <w:tcW w:w="5415" w:type="dxa"/>
            <w:tcBorders>
              <w:top w:val="single" w:color="auto" w:sz="6" w:space="0"/>
              <w:left w:val="single" w:color="auto" w:sz="6" w:space="0"/>
              <w:bottom w:val="nil"/>
              <w:right w:val="nil"/>
            </w:tcBorders>
            <w:noWrap w:val="0"/>
            <w:vAlign w:val="center"/>
          </w:tcPr>
          <w:p>
            <w:pPr>
              <w:widowControl/>
              <w:snapToGrid/>
              <w:spacing w:before="0" w:beforeAutospacing="1" w:after="0" w:afterAutospacing="1" w:line="240" w:lineRule="auto"/>
              <w:jc w:val="left"/>
              <w:textAlignment w:val="baseline"/>
              <w:rPr>
                <w:rFonts w:ascii="宋体" w:hAnsi="宋体" w:eastAsia="宋体" w:cs="宋体"/>
                <w:color w:val="auto"/>
                <w:kern w:val="0"/>
                <w:sz w:val="24"/>
                <w:szCs w:val="24"/>
                <w:lang w:val="en-US" w:eastAsia="zh-CN" w:bidi="ar-SA"/>
              </w:rPr>
            </w:pPr>
            <w:r>
              <w:rPr>
                <w:rStyle w:val="39"/>
                <w:rFonts w:ascii="宋体" w:hAnsi="宋体"/>
                <w:b w:val="0"/>
                <w:i w:val="0"/>
                <w:caps w:val="0"/>
                <w:color w:val="000000"/>
                <w:spacing w:val="0"/>
                <w:w w:val="100"/>
                <w:kern w:val="0"/>
                <w:sz w:val="24"/>
                <w:szCs w:val="24"/>
                <w:lang w:val="en-US" w:eastAsia="zh-CN" w:bidi="ar-SA"/>
              </w:rPr>
              <w:t>使用方便：无需一次性耗材，无需用户校准</w:t>
            </w:r>
          </w:p>
        </w:tc>
        <w:tc>
          <w:tcPr>
            <w:tcW w:w="2342" w:type="dxa"/>
            <w:tcBorders>
              <w:top w:val="single" w:color="auto" w:sz="6" w:space="0"/>
              <w:left w:val="single" w:color="auto" w:sz="6" w:space="0"/>
              <w:bottom w:val="nil"/>
              <w:right w:val="nil"/>
            </w:tcBorders>
            <w:noWrap w:val="0"/>
            <w:vAlign w:val="center"/>
          </w:tcPr>
          <w:p>
            <w:pPr>
              <w:widowControl/>
              <w:snapToGrid/>
              <w:spacing w:before="0" w:beforeAutospacing="1" w:after="0" w:afterAutospacing="1" w:line="240" w:lineRule="auto"/>
              <w:jc w:val="center"/>
              <w:textAlignment w:val="baseline"/>
              <w:rPr>
                <w:rFonts w:hint="default" w:ascii="宋体" w:hAnsi="宋体" w:eastAsia="宋体" w:cs="宋体"/>
                <w:color w:val="auto"/>
                <w:kern w:val="0"/>
                <w:sz w:val="24"/>
                <w:szCs w:val="24"/>
                <w:lang w:val="en-US" w:eastAsia="zh-CN" w:bidi="ar-SA"/>
              </w:rPr>
            </w:pPr>
            <w:r>
              <w:rPr>
                <w:rStyle w:val="39"/>
                <w:rFonts w:ascii="宋体" w:hAnsi="宋体"/>
                <w:b w:val="0"/>
                <w:i w:val="0"/>
                <w:caps w:val="0"/>
                <w:color w:val="000000"/>
                <w:spacing w:val="0"/>
                <w:w w:val="100"/>
                <w:kern w:val="0"/>
                <w:sz w:val="24"/>
                <w:szCs w:val="24"/>
                <w:lang w:val="en-US" w:eastAsia="zh-CN" w:bidi="ar-SA"/>
              </w:rPr>
              <w:t>3</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napToGrid/>
              <w:spacing w:before="0" w:beforeAutospacing="1" w:after="0" w:afterAutospacing="1" w:line="240" w:lineRule="auto"/>
              <w:jc w:val="left"/>
              <w:textAlignment w:val="baseline"/>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napToGrid/>
              <w:spacing w:before="0" w:beforeAutospacing="1" w:after="0" w:afterAutospacing="1" w:line="240" w:lineRule="auto"/>
              <w:jc w:val="center"/>
              <w:textAlignment w:val="baseline"/>
              <w:rPr>
                <w:rFonts w:hint="eastAsia" w:ascii="宋体" w:hAnsi="宋体" w:cs="宋体"/>
                <w:color w:val="auto"/>
                <w:sz w:val="24"/>
                <w:szCs w:val="24"/>
                <w:lang w:val="en-US" w:eastAsia="zh-CN"/>
              </w:rPr>
            </w:pPr>
            <w:r>
              <w:rPr>
                <w:rStyle w:val="39"/>
                <w:rFonts w:ascii="宋体" w:hAnsi="宋体"/>
                <w:b w:val="0"/>
                <w:i w:val="0"/>
                <w:caps w:val="0"/>
                <w:color w:val="000000"/>
                <w:spacing w:val="0"/>
                <w:w w:val="100"/>
                <w:kern w:val="0"/>
                <w:sz w:val="24"/>
                <w:szCs w:val="24"/>
                <w:lang w:val="en-US" w:eastAsia="zh-CN" w:bidi="ar-SA"/>
              </w:rPr>
              <w:t>9</w:t>
            </w:r>
          </w:p>
        </w:tc>
        <w:tc>
          <w:tcPr>
            <w:tcW w:w="5415" w:type="dxa"/>
            <w:tcBorders>
              <w:top w:val="single" w:color="auto" w:sz="6" w:space="0"/>
              <w:left w:val="single" w:color="auto" w:sz="6" w:space="0"/>
              <w:bottom w:val="nil"/>
              <w:right w:val="nil"/>
            </w:tcBorders>
            <w:noWrap w:val="0"/>
            <w:vAlign w:val="center"/>
          </w:tcPr>
          <w:p>
            <w:pPr>
              <w:widowControl/>
              <w:snapToGrid/>
              <w:spacing w:before="0" w:beforeAutospacing="1" w:after="0" w:afterAutospacing="1" w:line="240" w:lineRule="auto"/>
              <w:jc w:val="left"/>
              <w:textAlignment w:val="baseline"/>
              <w:rPr>
                <w:rFonts w:ascii="宋体" w:hAnsi="宋体" w:eastAsia="宋体" w:cs="宋体"/>
                <w:color w:val="auto"/>
                <w:kern w:val="0"/>
                <w:sz w:val="24"/>
                <w:szCs w:val="24"/>
                <w:lang w:val="en-US" w:eastAsia="zh-CN" w:bidi="ar-SA"/>
              </w:rPr>
            </w:pPr>
            <w:r>
              <w:rPr>
                <w:rStyle w:val="39"/>
                <w:rFonts w:ascii="宋体" w:hAnsi="宋体"/>
                <w:b w:val="0"/>
                <w:i w:val="0"/>
                <w:caps w:val="0"/>
                <w:color w:val="000000"/>
                <w:spacing w:val="0"/>
                <w:w w:val="100"/>
                <w:kern w:val="0"/>
                <w:sz w:val="24"/>
                <w:szCs w:val="24"/>
                <w:lang w:val="en-US" w:eastAsia="zh-CN" w:bidi="ar-SA"/>
              </w:rPr>
              <w:t>内置电池：可充电，充满电至少可测量250次或以上</w:t>
            </w:r>
          </w:p>
        </w:tc>
        <w:tc>
          <w:tcPr>
            <w:tcW w:w="2342" w:type="dxa"/>
            <w:tcBorders>
              <w:top w:val="single" w:color="auto" w:sz="6" w:space="0"/>
              <w:left w:val="single" w:color="auto" w:sz="6" w:space="0"/>
              <w:bottom w:val="nil"/>
              <w:right w:val="nil"/>
            </w:tcBorders>
            <w:noWrap w:val="0"/>
            <w:vAlign w:val="center"/>
          </w:tcPr>
          <w:p>
            <w:pPr>
              <w:widowControl/>
              <w:snapToGrid/>
              <w:spacing w:before="0" w:beforeAutospacing="1" w:after="0" w:afterAutospacing="1" w:line="240" w:lineRule="auto"/>
              <w:jc w:val="center"/>
              <w:textAlignment w:val="baseline"/>
              <w:rPr>
                <w:rFonts w:hint="default" w:ascii="宋体" w:hAnsi="宋体" w:eastAsia="宋体" w:cs="宋体"/>
                <w:color w:val="auto"/>
                <w:kern w:val="0"/>
                <w:sz w:val="24"/>
                <w:szCs w:val="24"/>
                <w:lang w:val="en-US" w:eastAsia="zh-CN" w:bidi="ar-SA"/>
              </w:rPr>
            </w:pPr>
            <w:r>
              <w:rPr>
                <w:rStyle w:val="39"/>
                <w:rFonts w:ascii="宋体" w:hAnsi="宋体"/>
                <w:b w:val="0"/>
                <w:i w:val="0"/>
                <w:caps w:val="0"/>
                <w:color w:val="000000"/>
                <w:spacing w:val="0"/>
                <w:w w:val="100"/>
                <w:kern w:val="0"/>
                <w:sz w:val="24"/>
                <w:szCs w:val="24"/>
                <w:lang w:val="en-US" w:eastAsia="zh-CN" w:bidi="ar-SA"/>
              </w:rPr>
              <w:t>3</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napToGrid/>
              <w:spacing w:before="0" w:beforeAutospacing="1" w:after="0" w:afterAutospacing="1" w:line="240" w:lineRule="auto"/>
              <w:jc w:val="left"/>
              <w:textAlignment w:val="baseline"/>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napToGrid/>
              <w:spacing w:before="0" w:beforeAutospacing="1" w:after="0" w:afterAutospacing="1" w:line="240" w:lineRule="auto"/>
              <w:jc w:val="center"/>
              <w:textAlignment w:val="baseline"/>
              <w:rPr>
                <w:rFonts w:hint="eastAsia" w:ascii="宋体" w:hAnsi="宋体" w:eastAsia="宋体" w:cs="宋体"/>
                <w:color w:val="000000"/>
                <w:kern w:val="0"/>
                <w:sz w:val="21"/>
                <w:szCs w:val="21"/>
                <w:lang w:val="en-US" w:eastAsia="zh-CN"/>
              </w:rPr>
            </w:pPr>
            <w:r>
              <w:rPr>
                <w:rStyle w:val="39"/>
                <w:rFonts w:ascii="宋体" w:hAnsi="宋体"/>
                <w:b w:val="0"/>
                <w:i w:val="0"/>
                <w:caps w:val="0"/>
                <w:color w:val="000000"/>
                <w:spacing w:val="0"/>
                <w:w w:val="100"/>
                <w:kern w:val="0"/>
                <w:sz w:val="24"/>
                <w:szCs w:val="24"/>
                <w:lang w:val="en-US" w:eastAsia="zh-CN" w:bidi="ar-SA"/>
              </w:rPr>
              <w:t>10</w:t>
            </w:r>
          </w:p>
        </w:tc>
        <w:tc>
          <w:tcPr>
            <w:tcW w:w="5415" w:type="dxa"/>
            <w:tcBorders>
              <w:top w:val="single" w:color="auto" w:sz="6" w:space="0"/>
              <w:left w:val="single" w:color="auto" w:sz="6" w:space="0"/>
              <w:bottom w:val="nil"/>
              <w:right w:val="nil"/>
            </w:tcBorders>
            <w:noWrap w:val="0"/>
            <w:vAlign w:val="center"/>
          </w:tcPr>
          <w:p>
            <w:pPr>
              <w:widowControl/>
              <w:snapToGrid/>
              <w:spacing w:before="0" w:beforeAutospacing="1" w:after="0" w:afterAutospacing="1" w:line="240" w:lineRule="auto"/>
              <w:jc w:val="left"/>
              <w:textAlignment w:val="baseline"/>
              <w:rPr>
                <w:rFonts w:hint="eastAsia" w:ascii="宋体" w:hAnsi="宋体" w:eastAsia="宋体" w:cs="宋体"/>
                <w:sz w:val="21"/>
                <w:szCs w:val="21"/>
                <w:lang w:val="en-US" w:eastAsia="zh-CN"/>
              </w:rPr>
            </w:pPr>
            <w:r>
              <w:rPr>
                <w:rStyle w:val="39"/>
                <w:rFonts w:ascii="宋体" w:hAnsi="宋体"/>
                <w:b w:val="0"/>
                <w:i w:val="0"/>
                <w:caps w:val="0"/>
                <w:color w:val="000000"/>
                <w:spacing w:val="0"/>
                <w:w w:val="100"/>
                <w:kern w:val="0"/>
                <w:sz w:val="24"/>
                <w:szCs w:val="24"/>
                <w:lang w:val="en-US" w:eastAsia="zh-CN" w:bidi="ar-SA"/>
              </w:rPr>
              <w:t>有两种单位可选：mg/dL, μmol/L（可切换）</w:t>
            </w:r>
          </w:p>
        </w:tc>
        <w:tc>
          <w:tcPr>
            <w:tcW w:w="2342" w:type="dxa"/>
            <w:tcBorders>
              <w:top w:val="single" w:color="auto" w:sz="6" w:space="0"/>
              <w:left w:val="single" w:color="auto" w:sz="6" w:space="0"/>
              <w:bottom w:val="nil"/>
              <w:right w:val="nil"/>
            </w:tcBorders>
            <w:noWrap w:val="0"/>
            <w:vAlign w:val="center"/>
          </w:tcPr>
          <w:p>
            <w:pPr>
              <w:widowControl/>
              <w:snapToGrid/>
              <w:spacing w:before="0" w:beforeAutospacing="1" w:after="0" w:afterAutospacing="1" w:line="240" w:lineRule="auto"/>
              <w:jc w:val="center"/>
              <w:textAlignment w:val="baseline"/>
              <w:rPr>
                <w:rFonts w:hint="eastAsia" w:ascii="宋体" w:hAnsi="宋体" w:eastAsia="宋体" w:cs="宋体"/>
                <w:color w:val="000000"/>
                <w:kern w:val="0"/>
                <w:sz w:val="21"/>
                <w:szCs w:val="21"/>
                <w:lang w:val="en-US" w:eastAsia="zh-CN"/>
              </w:rPr>
            </w:pPr>
            <w:r>
              <w:rPr>
                <w:rStyle w:val="39"/>
                <w:rFonts w:ascii="宋体" w:hAnsi="宋体"/>
                <w:b w:val="0"/>
                <w:i w:val="0"/>
                <w:caps w:val="0"/>
                <w:color w:val="000000"/>
                <w:spacing w:val="0"/>
                <w:w w:val="100"/>
                <w:kern w:val="0"/>
                <w:sz w:val="24"/>
                <w:szCs w:val="24"/>
                <w:lang w:val="en-US" w:eastAsia="zh-CN" w:bidi="ar-SA"/>
              </w:rPr>
              <w:t>3</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napToGrid/>
              <w:spacing w:before="0" w:beforeAutospacing="1" w:after="0" w:afterAutospacing="1" w:line="240" w:lineRule="auto"/>
              <w:jc w:val="left"/>
              <w:textAlignment w:val="baseline"/>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napToGrid/>
              <w:spacing w:before="0" w:beforeAutospacing="1" w:after="0" w:afterAutospacing="1" w:line="240" w:lineRule="auto"/>
              <w:jc w:val="center"/>
              <w:textAlignment w:val="baseline"/>
              <w:rPr>
                <w:rFonts w:hint="eastAsia" w:ascii="宋体" w:hAnsi="宋体" w:eastAsia="宋体" w:cs="宋体"/>
                <w:color w:val="000000"/>
                <w:kern w:val="0"/>
                <w:sz w:val="21"/>
                <w:szCs w:val="21"/>
                <w:lang w:val="en-US" w:eastAsia="zh-CN"/>
              </w:rPr>
            </w:pPr>
            <w:r>
              <w:rPr>
                <w:rStyle w:val="39"/>
                <w:rFonts w:ascii="宋体" w:hAnsi="宋体"/>
                <w:b w:val="0"/>
                <w:i w:val="0"/>
                <w:caps w:val="0"/>
                <w:color w:val="000000"/>
                <w:spacing w:val="0"/>
                <w:w w:val="100"/>
                <w:kern w:val="0"/>
                <w:sz w:val="24"/>
                <w:szCs w:val="24"/>
                <w:lang w:val="en-US" w:eastAsia="zh-CN" w:bidi="ar-SA"/>
              </w:rPr>
              <w:t>11</w:t>
            </w:r>
          </w:p>
        </w:tc>
        <w:tc>
          <w:tcPr>
            <w:tcW w:w="5415" w:type="dxa"/>
            <w:tcBorders>
              <w:top w:val="single" w:color="auto" w:sz="6" w:space="0"/>
              <w:left w:val="single" w:color="auto" w:sz="6" w:space="0"/>
              <w:bottom w:val="nil"/>
              <w:right w:val="nil"/>
            </w:tcBorders>
            <w:noWrap w:val="0"/>
            <w:vAlign w:val="center"/>
          </w:tcPr>
          <w:p>
            <w:pPr>
              <w:widowControl/>
              <w:snapToGrid/>
              <w:spacing w:before="0" w:beforeAutospacing="1" w:after="0" w:afterAutospacing="1" w:line="240" w:lineRule="auto"/>
              <w:jc w:val="left"/>
              <w:textAlignment w:val="baseline"/>
              <w:rPr>
                <w:rFonts w:hint="eastAsia" w:ascii="宋体" w:hAnsi="宋体" w:eastAsia="宋体" w:cs="宋体"/>
                <w:sz w:val="21"/>
                <w:szCs w:val="21"/>
                <w:lang w:val="en-US" w:eastAsia="zh-CN"/>
              </w:rPr>
            </w:pPr>
            <w:r>
              <w:rPr>
                <w:rStyle w:val="39"/>
                <w:rFonts w:ascii="宋体" w:hAnsi="宋体"/>
                <w:b w:val="0"/>
                <w:i w:val="0"/>
                <w:caps w:val="0"/>
                <w:color w:val="000000"/>
                <w:spacing w:val="0"/>
                <w:w w:val="100"/>
                <w:kern w:val="0"/>
                <w:sz w:val="24"/>
                <w:szCs w:val="24"/>
                <w:lang w:val="en-US" w:eastAsia="zh-CN" w:bidi="ar-SA"/>
              </w:rPr>
              <w:t>测量范围大： 0.0~25.0 mg/dL 或 0~425 μmol/L</w:t>
            </w:r>
          </w:p>
        </w:tc>
        <w:tc>
          <w:tcPr>
            <w:tcW w:w="2342" w:type="dxa"/>
            <w:tcBorders>
              <w:top w:val="single" w:color="auto" w:sz="6" w:space="0"/>
              <w:left w:val="single" w:color="auto" w:sz="6" w:space="0"/>
              <w:bottom w:val="nil"/>
              <w:right w:val="nil"/>
            </w:tcBorders>
            <w:noWrap w:val="0"/>
            <w:vAlign w:val="center"/>
          </w:tcPr>
          <w:p>
            <w:pPr>
              <w:widowControl/>
              <w:snapToGrid/>
              <w:spacing w:before="0" w:beforeAutospacing="1" w:after="0" w:afterAutospacing="1" w:line="240" w:lineRule="auto"/>
              <w:jc w:val="center"/>
              <w:textAlignment w:val="baseline"/>
              <w:rPr>
                <w:rFonts w:hint="eastAsia" w:ascii="宋体" w:hAnsi="宋体" w:eastAsia="宋体" w:cs="宋体"/>
                <w:color w:val="000000"/>
                <w:kern w:val="0"/>
                <w:sz w:val="21"/>
                <w:szCs w:val="21"/>
                <w:lang w:val="en-US" w:eastAsia="zh-CN"/>
              </w:rPr>
            </w:pPr>
            <w:r>
              <w:rPr>
                <w:rStyle w:val="39"/>
                <w:rFonts w:ascii="宋体" w:hAnsi="宋体"/>
                <w:b w:val="0"/>
                <w:i w:val="0"/>
                <w:caps w:val="0"/>
                <w:color w:val="000000"/>
                <w:spacing w:val="0"/>
                <w:w w:val="100"/>
                <w:kern w:val="0"/>
                <w:sz w:val="24"/>
                <w:szCs w:val="24"/>
                <w:lang w:val="en-US" w:eastAsia="zh-CN" w:bidi="ar-SA"/>
              </w:rPr>
              <w:t>3</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napToGrid/>
              <w:spacing w:before="0" w:beforeAutospacing="1" w:after="0" w:afterAutospacing="1" w:line="240" w:lineRule="auto"/>
              <w:jc w:val="left"/>
              <w:textAlignment w:val="baseline"/>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napToGrid/>
              <w:spacing w:before="0" w:beforeAutospacing="1" w:after="0" w:afterAutospacing="1" w:line="240" w:lineRule="auto"/>
              <w:jc w:val="center"/>
              <w:textAlignment w:val="baseline"/>
              <w:rPr>
                <w:rFonts w:hint="eastAsia" w:ascii="宋体" w:hAnsi="宋体" w:eastAsia="宋体" w:cs="宋体"/>
                <w:color w:val="000000"/>
                <w:kern w:val="0"/>
                <w:sz w:val="21"/>
                <w:szCs w:val="21"/>
                <w:lang w:val="en-US" w:eastAsia="zh-CN"/>
              </w:rPr>
            </w:pPr>
            <w:r>
              <w:rPr>
                <w:rStyle w:val="39"/>
                <w:rFonts w:ascii="宋体" w:hAnsi="宋体"/>
                <w:b w:val="0"/>
                <w:i w:val="0"/>
                <w:caps w:val="0"/>
                <w:color w:val="000000"/>
                <w:spacing w:val="0"/>
                <w:w w:val="100"/>
                <w:kern w:val="0"/>
                <w:sz w:val="24"/>
                <w:szCs w:val="24"/>
                <w:lang w:val="en-US" w:eastAsia="zh-CN" w:bidi="ar-SA"/>
              </w:rPr>
              <w:t>12</w:t>
            </w:r>
          </w:p>
        </w:tc>
        <w:tc>
          <w:tcPr>
            <w:tcW w:w="5415" w:type="dxa"/>
            <w:tcBorders>
              <w:top w:val="single" w:color="auto" w:sz="6" w:space="0"/>
              <w:left w:val="single" w:color="auto" w:sz="6" w:space="0"/>
              <w:bottom w:val="nil"/>
              <w:right w:val="nil"/>
            </w:tcBorders>
            <w:noWrap w:val="0"/>
            <w:vAlign w:val="center"/>
          </w:tcPr>
          <w:p>
            <w:pPr>
              <w:widowControl/>
              <w:snapToGrid/>
              <w:spacing w:before="0" w:beforeAutospacing="1" w:after="0" w:afterAutospacing="1" w:line="240" w:lineRule="auto"/>
              <w:jc w:val="left"/>
              <w:textAlignment w:val="baseline"/>
              <w:rPr>
                <w:rFonts w:hint="eastAsia" w:ascii="宋体" w:hAnsi="宋体" w:eastAsia="宋体" w:cs="宋体"/>
                <w:sz w:val="21"/>
                <w:szCs w:val="21"/>
                <w:lang w:val="en-US" w:eastAsia="zh-CN"/>
              </w:rPr>
            </w:pPr>
            <w:r>
              <w:rPr>
                <w:rStyle w:val="39"/>
                <w:rFonts w:ascii="宋体" w:hAnsi="宋体"/>
                <w:b w:val="0"/>
                <w:i w:val="0"/>
                <w:caps w:val="0"/>
                <w:color w:val="000000"/>
                <w:spacing w:val="0"/>
                <w:w w:val="100"/>
                <w:kern w:val="0"/>
                <w:sz w:val="24"/>
                <w:szCs w:val="24"/>
                <w:lang w:val="en-US" w:eastAsia="zh-CN" w:bidi="ar-SA"/>
              </w:rPr>
              <w:t>精度高：误差范围小于等于1.5 mg/dL 或  25.5 μmol/L</w:t>
            </w:r>
          </w:p>
        </w:tc>
        <w:tc>
          <w:tcPr>
            <w:tcW w:w="2342" w:type="dxa"/>
            <w:tcBorders>
              <w:top w:val="single" w:color="auto" w:sz="6" w:space="0"/>
              <w:left w:val="single" w:color="auto" w:sz="6" w:space="0"/>
              <w:bottom w:val="nil"/>
              <w:right w:val="nil"/>
            </w:tcBorders>
            <w:noWrap w:val="0"/>
            <w:vAlign w:val="center"/>
          </w:tcPr>
          <w:p>
            <w:pPr>
              <w:widowControl/>
              <w:snapToGrid/>
              <w:spacing w:before="0" w:beforeAutospacing="1" w:after="0" w:afterAutospacing="1" w:line="240" w:lineRule="auto"/>
              <w:jc w:val="center"/>
              <w:textAlignment w:val="baseline"/>
              <w:rPr>
                <w:rFonts w:hint="eastAsia" w:ascii="宋体" w:hAnsi="宋体" w:eastAsia="宋体" w:cs="宋体"/>
                <w:color w:val="000000"/>
                <w:kern w:val="0"/>
                <w:sz w:val="21"/>
                <w:szCs w:val="21"/>
                <w:lang w:val="en-US" w:eastAsia="zh-CN"/>
              </w:rPr>
            </w:pPr>
            <w:r>
              <w:rPr>
                <w:rStyle w:val="39"/>
                <w:rFonts w:ascii="宋体" w:hAnsi="宋体"/>
                <w:b w:val="0"/>
                <w:i w:val="0"/>
                <w:caps w:val="0"/>
                <w:color w:val="000000"/>
                <w:spacing w:val="0"/>
                <w:w w:val="100"/>
                <w:kern w:val="0"/>
                <w:sz w:val="24"/>
                <w:szCs w:val="24"/>
                <w:lang w:val="en-US" w:eastAsia="zh-CN" w:bidi="ar-SA"/>
              </w:rPr>
              <w:t>3</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napToGrid/>
              <w:spacing w:before="0" w:beforeAutospacing="1" w:after="0" w:afterAutospacing="1" w:line="240" w:lineRule="auto"/>
              <w:jc w:val="left"/>
              <w:textAlignment w:val="baseline"/>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napToGrid/>
              <w:spacing w:before="0" w:beforeAutospacing="1" w:after="0" w:afterAutospacing="1" w:line="240" w:lineRule="auto"/>
              <w:jc w:val="center"/>
              <w:textAlignment w:val="baseline"/>
              <w:rPr>
                <w:rFonts w:hint="eastAsia" w:ascii="宋体" w:hAnsi="宋体" w:cs="宋体"/>
                <w:color w:val="auto"/>
                <w:kern w:val="0"/>
                <w:sz w:val="24"/>
                <w:szCs w:val="24"/>
              </w:rPr>
            </w:pPr>
            <w:r>
              <w:rPr>
                <w:rStyle w:val="39"/>
                <w:rFonts w:ascii="宋体" w:hAnsi="宋体"/>
                <w:b w:val="0"/>
                <w:i w:val="0"/>
                <w:caps w:val="0"/>
                <w:color w:val="000000"/>
                <w:spacing w:val="0"/>
                <w:w w:val="100"/>
                <w:kern w:val="0"/>
                <w:sz w:val="24"/>
                <w:szCs w:val="24"/>
                <w:lang w:val="en-US" w:eastAsia="zh-CN" w:bidi="ar-SA"/>
              </w:rPr>
              <w:t>13</w:t>
            </w:r>
          </w:p>
        </w:tc>
        <w:tc>
          <w:tcPr>
            <w:tcW w:w="5415" w:type="dxa"/>
            <w:tcBorders>
              <w:top w:val="single" w:color="auto" w:sz="6" w:space="0"/>
              <w:left w:val="single" w:color="auto" w:sz="6" w:space="0"/>
              <w:bottom w:val="nil"/>
              <w:right w:val="nil"/>
            </w:tcBorders>
            <w:noWrap w:val="0"/>
            <w:vAlign w:val="center"/>
          </w:tcPr>
          <w:p>
            <w:pPr>
              <w:widowControl/>
              <w:snapToGrid/>
              <w:spacing w:before="0" w:beforeAutospacing="1" w:after="0" w:afterAutospacing="1" w:line="240" w:lineRule="auto"/>
              <w:jc w:val="left"/>
              <w:textAlignment w:val="baseline"/>
              <w:rPr>
                <w:rFonts w:hint="eastAsia"/>
                <w:color w:val="auto"/>
              </w:rPr>
            </w:pPr>
            <w:r>
              <w:rPr>
                <w:rStyle w:val="39"/>
                <w:rFonts w:ascii="宋体" w:hAnsi="宋体"/>
                <w:b w:val="0"/>
                <w:i w:val="0"/>
                <w:caps w:val="0"/>
                <w:color w:val="000000"/>
                <w:spacing w:val="0"/>
                <w:w w:val="100"/>
                <w:kern w:val="0"/>
                <w:sz w:val="24"/>
                <w:szCs w:val="24"/>
                <w:lang w:val="en-US" w:eastAsia="zh-CN" w:bidi="ar-SA"/>
              </w:rPr>
              <w:t>可预设平均次数，并自动计算平均值</w:t>
            </w:r>
          </w:p>
        </w:tc>
        <w:tc>
          <w:tcPr>
            <w:tcW w:w="2342" w:type="dxa"/>
            <w:tcBorders>
              <w:top w:val="single" w:color="auto" w:sz="6" w:space="0"/>
              <w:left w:val="single" w:color="auto" w:sz="6" w:space="0"/>
              <w:bottom w:val="nil"/>
              <w:right w:val="nil"/>
            </w:tcBorders>
            <w:noWrap w:val="0"/>
            <w:vAlign w:val="center"/>
          </w:tcPr>
          <w:p>
            <w:pPr>
              <w:widowControl/>
              <w:snapToGrid/>
              <w:spacing w:before="0" w:beforeAutospacing="1" w:after="0" w:afterAutospacing="1" w:line="240" w:lineRule="auto"/>
              <w:jc w:val="center"/>
              <w:textAlignment w:val="baseline"/>
              <w:rPr>
                <w:rFonts w:hint="eastAsia" w:ascii="宋体" w:hAnsi="宋体" w:cs="宋体"/>
                <w:color w:val="auto"/>
                <w:kern w:val="0"/>
                <w:sz w:val="24"/>
                <w:szCs w:val="24"/>
                <w:lang w:val="en-US" w:eastAsia="zh-CN"/>
              </w:rPr>
            </w:pPr>
            <w:r>
              <w:rPr>
                <w:rStyle w:val="39"/>
                <w:rFonts w:ascii="宋体" w:hAnsi="宋体"/>
                <w:b w:val="0"/>
                <w:i w:val="0"/>
                <w:caps w:val="0"/>
                <w:color w:val="000000"/>
                <w:spacing w:val="0"/>
                <w:w w:val="100"/>
                <w:kern w:val="0"/>
                <w:sz w:val="24"/>
                <w:szCs w:val="24"/>
                <w:lang w:val="en-US" w:eastAsia="zh-CN" w:bidi="ar-SA"/>
              </w:rPr>
              <w:t>3</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948" w:hRule="atLeast"/>
          <w:tblCellSpacing w:w="0" w:type="dxa"/>
        </w:trPr>
        <w:tc>
          <w:tcPr>
            <w:tcW w:w="118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b/>
                <w:kern w:val="0"/>
                <w:sz w:val="24"/>
                <w:szCs w:val="24"/>
              </w:rPr>
            </w:pPr>
            <w:r>
              <w:rPr>
                <w:rFonts w:hint="eastAsia" w:ascii="宋体" w:hAnsi="宋体" w:cs="宋体"/>
                <w:b/>
                <w:bCs/>
                <w:kern w:val="0"/>
                <w:sz w:val="24"/>
                <w:szCs w:val="24"/>
              </w:rPr>
              <w:t>技术保障措施</w:t>
            </w:r>
          </w:p>
        </w:tc>
        <w:tc>
          <w:tcPr>
            <w:tcW w:w="8880" w:type="dxa"/>
            <w:gridSpan w:val="3"/>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b/>
                <w:bCs/>
                <w:kern w:val="0"/>
                <w:sz w:val="24"/>
                <w:szCs w:val="24"/>
              </w:rPr>
            </w:pPr>
            <w:r>
              <w:rPr>
                <w:rFonts w:hint="eastAsia" w:ascii="宋体" w:hAnsi="宋体" w:cs="宋体"/>
                <w:sz w:val="24"/>
                <w:szCs w:val="24"/>
              </w:rPr>
              <w:t>在投标文件中详细说明保障措施（包括技术团队、技术方案、技术人员、场地、车辆等），评审委员会根据响应情况进行横向比较，优3分，良2分，中1分，差0分</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商务需求</w:t>
            </w:r>
            <w:r>
              <w:rPr>
                <w:rFonts w:ascii="宋体" w:hAnsi="宋体" w:cs="宋体"/>
                <w:kern w:val="0"/>
                <w:sz w:val="24"/>
                <w:szCs w:val="24"/>
              </w:rPr>
              <w:t xml:space="preserve"> </w:t>
            </w:r>
          </w:p>
        </w:tc>
        <w:tc>
          <w:tcPr>
            <w:tcW w:w="8880" w:type="dxa"/>
            <w:gridSpan w:val="3"/>
            <w:tcBorders>
              <w:top w:val="single" w:color="auto" w:sz="6" w:space="0"/>
              <w:left w:val="single" w:color="auto" w:sz="6" w:space="0"/>
              <w:bottom w:val="nil"/>
              <w:right w:val="nil"/>
            </w:tcBorders>
            <w:noWrap w:val="0"/>
            <w:vAlign w:val="center"/>
          </w:tcPr>
          <w:p>
            <w:pPr>
              <w:widowControl/>
              <w:jc w:val="left"/>
              <w:rPr>
                <w:rFonts w:ascii="宋体" w:hAnsi="宋体" w:cs="宋体"/>
                <w:kern w:val="0"/>
                <w:sz w:val="24"/>
                <w:szCs w:val="24"/>
              </w:rPr>
            </w:pPr>
            <w:r>
              <w:rPr>
                <w:rFonts w:ascii="宋体" w:hAnsi="宋体" w:cs="宋体"/>
                <w:kern w:val="0"/>
                <w:sz w:val="24"/>
                <w:szCs w:val="24"/>
              </w:rPr>
              <w:t xml:space="preserve">  </w:t>
            </w:r>
          </w:p>
          <w:tbl>
            <w:tblPr>
              <w:tblStyle w:val="13"/>
              <w:tblW w:w="8340" w:type="dxa"/>
              <w:tblInd w:w="108"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0" w:type="dxa"/>
                <w:bottom w:w="0" w:type="dxa"/>
                <w:right w:w="0" w:type="dxa"/>
              </w:tblCellMar>
            </w:tblPr>
            <w:tblGrid>
              <w:gridCol w:w="652"/>
              <w:gridCol w:w="58"/>
              <w:gridCol w:w="1373"/>
              <w:gridCol w:w="6257"/>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97" w:hRule="atLeast"/>
              </w:trPr>
              <w:tc>
                <w:tcPr>
                  <w:tcW w:w="710" w:type="dxa"/>
                  <w:gridSpan w:val="2"/>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 w:val="24"/>
                      <w:szCs w:val="24"/>
                    </w:rPr>
                  </w:pPr>
                  <w:r>
                    <w:rPr>
                      <w:rFonts w:ascii="宋体" w:hAnsi="宋体" w:cs="宋体"/>
                      <w:b/>
                      <w:bCs/>
                      <w:color w:val="000000"/>
                      <w:kern w:val="0"/>
                      <w:sz w:val="24"/>
                      <w:szCs w:val="24"/>
                    </w:rPr>
                    <w:t>序号</w:t>
                  </w:r>
                </w:p>
              </w:tc>
              <w:tc>
                <w:tcPr>
                  <w:tcW w:w="1373"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 w:val="24"/>
                      <w:szCs w:val="24"/>
                    </w:rPr>
                  </w:pPr>
                  <w:r>
                    <w:rPr>
                      <w:rFonts w:ascii="宋体" w:hAnsi="宋体" w:cs="宋体"/>
                      <w:b/>
                      <w:bCs/>
                      <w:color w:val="000000"/>
                      <w:kern w:val="0"/>
                      <w:sz w:val="24"/>
                      <w:szCs w:val="24"/>
                    </w:rPr>
                    <w:t>目录</w:t>
                  </w:r>
                </w:p>
              </w:tc>
              <w:tc>
                <w:tcPr>
                  <w:tcW w:w="6257"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 w:val="24"/>
                      <w:szCs w:val="24"/>
                    </w:rPr>
                  </w:pPr>
                  <w:r>
                    <w:rPr>
                      <w:rFonts w:ascii="宋体" w:hAnsi="宋体" w:cs="宋体"/>
                      <w:b/>
                      <w:bCs/>
                      <w:kern w:val="0"/>
                      <w:sz w:val="24"/>
                      <w:szCs w:val="24"/>
                    </w:rPr>
                    <w:t>商务需求</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280" w:hRule="atLeast"/>
              </w:trPr>
              <w:tc>
                <w:tcPr>
                  <w:tcW w:w="8340" w:type="dxa"/>
                  <w:gridSpan w:val="4"/>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b/>
                      <w:bCs/>
                      <w:color w:val="000000"/>
                      <w:kern w:val="0"/>
                      <w:sz w:val="24"/>
                      <w:szCs w:val="24"/>
                    </w:rPr>
                    <w:t>（一）免费保修期内售后服务要求</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643" w:hRule="atLeast"/>
              </w:trPr>
              <w:tc>
                <w:tcPr>
                  <w:tcW w:w="710" w:type="dxa"/>
                  <w:gridSpan w:val="2"/>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1</w:t>
                  </w:r>
                </w:p>
              </w:tc>
              <w:tc>
                <w:tcPr>
                  <w:tcW w:w="137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免费保修期</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1.1各投标人应在投标文件中列明各主机、配件和易耗品的保修期限,并承诺提供整机免费保修期</w:t>
                  </w:r>
                  <w:r>
                    <w:rPr>
                      <w:rFonts w:hint="eastAsia" w:ascii="宋体" w:hAnsi="宋体" w:cs="宋体"/>
                      <w:color w:val="FF0000"/>
                      <w:kern w:val="0"/>
                      <w:szCs w:val="21"/>
                      <w:u w:val="single"/>
                      <w:lang w:eastAsia="zh-CN"/>
                    </w:rPr>
                    <w:t>叁</w:t>
                  </w:r>
                  <w:r>
                    <w:rPr>
                      <w:rFonts w:hint="eastAsia" w:ascii="宋体" w:hAnsi="宋体" w:cs="宋体"/>
                      <w:color w:val="auto"/>
                      <w:kern w:val="0"/>
                      <w:szCs w:val="21"/>
                    </w:rPr>
                    <w:t>年(全保)</w:t>
                  </w:r>
                  <w:r>
                    <w:rPr>
                      <w:rStyle w:val="16"/>
                      <w:rFonts w:hint="eastAsia" w:ascii="宋体" w:hAnsi="宋体" w:cs="宋体"/>
                      <w:color w:val="auto"/>
                      <w:szCs w:val="21"/>
                    </w:rPr>
                    <w:t>（特别提示：免费保修期达不到招标文件要求的，该投标文件不通过）</w:t>
                  </w:r>
                  <w:r>
                    <w:rPr>
                      <w:rFonts w:hint="eastAsia" w:ascii="宋体" w:hAnsi="宋体" w:cs="宋体"/>
                      <w:color w:val="auto"/>
                      <w:kern w:val="0"/>
                      <w:szCs w:val="21"/>
                    </w:rPr>
                    <w:t>,终身维修。保修期内,年度定期预防性维护保养次数应不少于</w:t>
                  </w:r>
                  <w:r>
                    <w:rPr>
                      <w:rFonts w:hint="eastAsia" w:ascii="宋体" w:hAnsi="宋体" w:cs="宋体"/>
                      <w:color w:val="auto"/>
                      <w:kern w:val="0"/>
                      <w:szCs w:val="21"/>
                      <w:u w:val="single"/>
                    </w:rPr>
                    <w:t xml:space="preserve"> 4 </w:t>
                  </w:r>
                  <w:r>
                    <w:rPr>
                      <w:rFonts w:hint="eastAsia" w:ascii="宋体" w:hAnsi="宋体" w:cs="宋体"/>
                      <w:color w:val="auto"/>
                      <w:kern w:val="0"/>
                      <w:szCs w:val="21"/>
                    </w:rPr>
                    <w:t>次。保修期内免费更换零配件、免工时费。</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restart"/>
                  <w:tcBorders>
                    <w:top w:val="nil"/>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r>
                    <w:rPr>
                      <w:rFonts w:ascii="宋体" w:hAnsi="宋体" w:cs="宋体"/>
                      <w:b/>
                      <w:bCs/>
                      <w:kern w:val="0"/>
                      <w:sz w:val="24"/>
                      <w:szCs w:val="24"/>
                    </w:rPr>
                    <w:t>2</w:t>
                  </w:r>
                </w:p>
              </w:tc>
              <w:tc>
                <w:tcPr>
                  <w:tcW w:w="1373" w:type="dxa"/>
                  <w:vMerge w:val="restart"/>
                  <w:tcBorders>
                    <w:top w:val="nil"/>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r>
                    <w:rPr>
                      <w:rFonts w:ascii="宋体" w:hAnsi="宋体" w:cs="宋体"/>
                      <w:kern w:val="0"/>
                      <w:sz w:val="24"/>
                      <w:szCs w:val="24"/>
                    </w:rPr>
                    <w:t>维修响应及故障解决时间</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pPr>
                  <w:r>
                    <w:rPr>
                      <w:rFonts w:hint="eastAsia" w:ascii="宋体" w:hAnsi="宋体" w:cs="宋体"/>
                      <w:color w:val="auto"/>
                      <w:kern w:val="0"/>
                      <w:szCs w:val="21"/>
                      <w:lang w:val="en-US" w:eastAsia="zh-CN"/>
                    </w:rPr>
                    <w:t>2.</w:t>
                  </w:r>
                  <w:r>
                    <w:rPr>
                      <w:rFonts w:hint="eastAsia" w:ascii="宋体" w:hAnsi="宋体" w:cs="宋体"/>
                      <w:color w:val="auto"/>
                      <w:kern w:val="0"/>
                      <w:szCs w:val="21"/>
                    </w:rPr>
                    <w:t>1由设备制造商提供售后服务，</w:t>
                  </w:r>
                  <w:r>
                    <w:rPr>
                      <w:rFonts w:hint="eastAsia" w:ascii="宋体" w:hAnsi="宋体" w:cs="宋体"/>
                      <w:color w:val="auto"/>
                      <w:kern w:val="0"/>
                      <w:szCs w:val="21"/>
                      <w:u w:val="single"/>
                    </w:rPr>
                    <w:t xml:space="preserve"> 4 </w:t>
                  </w:r>
                  <w:r>
                    <w:rPr>
                      <w:rFonts w:hint="eastAsia" w:ascii="宋体" w:hAnsi="宋体" w:cs="宋体"/>
                      <w:color w:val="auto"/>
                      <w:kern w:val="0"/>
                      <w:szCs w:val="21"/>
                    </w:rPr>
                    <w:t>小时内响应，</w:t>
                  </w:r>
                  <w:r>
                    <w:rPr>
                      <w:rFonts w:hint="eastAsia" w:ascii="宋体" w:hAnsi="宋体" w:cs="宋体"/>
                      <w:color w:val="auto"/>
                      <w:kern w:val="0"/>
                      <w:szCs w:val="21"/>
                      <w:u w:val="single"/>
                    </w:rPr>
                    <w:t xml:space="preserve"> 24 </w:t>
                  </w:r>
                  <w:r>
                    <w:rPr>
                      <w:rFonts w:hint="eastAsia" w:ascii="宋体" w:hAnsi="宋体" w:cs="宋体"/>
                      <w:color w:val="auto"/>
                      <w:kern w:val="0"/>
                      <w:szCs w:val="21"/>
                    </w:rPr>
                    <w:t>小时维修到位（不可抗力情况除外）。消耗品和零配件供应及时，特殊情况下可提供备用机。</w:t>
                  </w:r>
                  <w:r>
                    <w:rPr>
                      <w:rFonts w:hint="eastAsia"/>
                    </w:rPr>
                    <w:t xml:space="preserve">                </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p>
              </w:tc>
              <w:tc>
                <w:tcPr>
                  <w:tcW w:w="1373" w:type="dxa"/>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hint="eastAsia" w:eastAsia="宋体"/>
                      <w:lang w:eastAsia="zh-CN"/>
                    </w:rPr>
                  </w:pPr>
                  <w:r>
                    <w:rPr>
                      <w:rFonts w:hint="eastAsia"/>
                      <w:lang w:val="en-US" w:eastAsia="zh-CN"/>
                    </w:rPr>
                    <w:t>2.2</w:t>
                  </w:r>
                  <w:r>
                    <w:rPr>
                      <w:rFonts w:hint="eastAsia"/>
                    </w:rPr>
                    <w:t>厂家必须在广东省有固定售后服务工作站（提供工程师电话和技术维修力量情况和维修的详细地址及联系方式）。专业工程师免费现场安装</w:t>
                  </w:r>
                  <w:r>
                    <w:rPr>
                      <w:rFonts w:hint="eastAsia"/>
                      <w:lang w:eastAsia="zh-CN"/>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p>
              </w:tc>
              <w:tc>
                <w:tcPr>
                  <w:tcW w:w="1373" w:type="dxa"/>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jc w:val="left"/>
                    <w:rPr>
                      <w:rFonts w:hint="eastAsia"/>
                    </w:rPr>
                  </w:pPr>
                  <w:r>
                    <w:rPr>
                      <w:rFonts w:hint="eastAsia"/>
                      <w:lang w:val="en-US" w:eastAsia="zh-CN"/>
                    </w:rPr>
                    <w:t>2.3</w:t>
                  </w:r>
                  <w:r>
                    <w:rPr>
                      <w:rFonts w:hint="eastAsia"/>
                    </w:rPr>
                    <w:t>提供400/800国内免费电话， 365天24小时的远程维护与服务，深圳地区有驻点工程师，4小时内电话响应，24小时维修到位（不可抗力情况除外），超过24小时不能完成维修的须提供备用机。</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continue"/>
                  <w:tcBorders>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p>
              </w:tc>
              <w:tc>
                <w:tcPr>
                  <w:tcW w:w="1373" w:type="dxa"/>
                  <w:vMerge w:val="continue"/>
                  <w:tcBorders>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p>
              </w:tc>
              <w:tc>
                <w:tcPr>
                  <w:tcW w:w="6257" w:type="dxa"/>
                  <w:tcBorders>
                    <w:top w:val="nil"/>
                    <w:left w:val="nil"/>
                    <w:bottom w:val="single" w:color="auto" w:sz="4" w:space="0"/>
                    <w:right w:val="single" w:color="auto" w:sz="8" w:space="0"/>
                  </w:tcBorders>
                  <w:noWrap w:val="0"/>
                  <w:tcMar>
                    <w:top w:w="0" w:type="dxa"/>
                    <w:left w:w="108" w:type="dxa"/>
                    <w:bottom w:w="0" w:type="dxa"/>
                    <w:right w:w="108" w:type="dxa"/>
                  </w:tcMar>
                  <w:vAlign w:val="top"/>
                </w:tcPr>
                <w:p>
                  <w:pPr>
                    <w:jc w:val="left"/>
                    <w:rPr>
                      <w:rFonts w:hint="eastAsia" w:eastAsia="宋体"/>
                      <w:lang w:eastAsia="zh-CN"/>
                    </w:rPr>
                  </w:pPr>
                  <w:r>
                    <w:rPr>
                      <w:rFonts w:hint="eastAsia"/>
                      <w:lang w:val="en-US" w:eastAsia="zh-CN"/>
                    </w:rPr>
                    <w:t>2.4</w:t>
                  </w:r>
                  <w:r>
                    <w:rPr>
                      <w:rFonts w:hint="eastAsia"/>
                    </w:rPr>
                    <w:t>保证供应仪器的维修与配件</w:t>
                  </w:r>
                  <w:r>
                    <w:rPr>
                      <w:rFonts w:hint="eastAsia"/>
                      <w:lang w:eastAsia="zh-CN"/>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90" w:hRule="atLeast"/>
              </w:trPr>
              <w:tc>
                <w:tcPr>
                  <w:tcW w:w="710" w:type="dxa"/>
                  <w:gridSpan w:val="2"/>
                  <w:vMerge w:val="restart"/>
                  <w:tcBorders>
                    <w:top w:val="nil"/>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r>
                    <w:rPr>
                      <w:rFonts w:ascii="宋体" w:hAnsi="宋体" w:cs="宋体"/>
                      <w:kern w:val="0"/>
                      <w:sz w:val="24"/>
                      <w:szCs w:val="24"/>
                    </w:rPr>
                    <w:t>3</w:t>
                  </w:r>
                </w:p>
              </w:tc>
              <w:tc>
                <w:tcPr>
                  <w:tcW w:w="1373" w:type="dxa"/>
                  <w:vMerge w:val="restart"/>
                  <w:tcBorders>
                    <w:top w:val="nil"/>
                    <w:left w:val="nil"/>
                    <w:right w:val="single" w:color="auto" w:sz="4"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r>
                    <w:rPr>
                      <w:rFonts w:hint="eastAsia" w:ascii="宋体" w:hAnsi="宋体" w:cs="宋体"/>
                      <w:kern w:val="0"/>
                      <w:sz w:val="24"/>
                      <w:szCs w:val="24"/>
                    </w:rPr>
                    <w:t>软件升级及服务</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top"/>
                </w:tcPr>
                <w:p>
                  <w:pPr>
                    <w:jc w:val="left"/>
                    <w:rPr>
                      <w:rFonts w:hint="eastAsia"/>
                    </w:rPr>
                  </w:pPr>
                  <w:r>
                    <w:rPr>
                      <w:rFonts w:hint="eastAsia" w:ascii="宋体" w:hAnsi="宋体" w:cs="宋体"/>
                      <w:kern w:val="0"/>
                      <w:sz w:val="24"/>
                      <w:szCs w:val="24"/>
                      <w:lang w:val="en-US" w:eastAsia="zh-CN"/>
                    </w:rPr>
                    <w:t>3.1</w:t>
                  </w:r>
                  <w:r>
                    <w:rPr>
                      <w:rFonts w:hint="eastAsia"/>
                    </w:rPr>
                    <w:t xml:space="preserve"> 免费提供技术咨询、软件升级；</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continue"/>
                  <w:tcBorders>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p>
              </w:tc>
              <w:tc>
                <w:tcPr>
                  <w:tcW w:w="1373" w:type="dxa"/>
                  <w:vMerge w:val="continue"/>
                  <w:tcBorders>
                    <w:left w:val="nil"/>
                    <w:bottom w:val="single" w:color="auto" w:sz="8" w:space="0"/>
                    <w:right w:val="single" w:color="auto" w:sz="4"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top"/>
                </w:tcPr>
                <w:p>
                  <w:pPr>
                    <w:jc w:val="left"/>
                    <w:rPr>
                      <w:rFonts w:hint="eastAsia"/>
                    </w:rPr>
                  </w:pPr>
                  <w:r>
                    <w:rPr>
                      <w:rFonts w:hint="eastAsia"/>
                      <w:lang w:val="en-US" w:eastAsia="zh-CN"/>
                    </w:rPr>
                    <w:t>3.2</w:t>
                  </w:r>
                  <w:r>
                    <w:rPr>
                      <w:rFonts w:hint="eastAsia"/>
                    </w:rPr>
                    <w:t>所提供的所有的硬件、软件与我院现有的PACS端口免费连接</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20" w:hRule="atLeast"/>
              </w:trPr>
              <w:tc>
                <w:tcPr>
                  <w:tcW w:w="710" w:type="dxa"/>
                  <w:gridSpan w:val="2"/>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4</w:t>
                  </w:r>
                </w:p>
              </w:tc>
              <w:tc>
                <w:tcPr>
                  <w:tcW w:w="1373"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相关培训</w:t>
                  </w:r>
                </w:p>
              </w:tc>
              <w:tc>
                <w:tcPr>
                  <w:tcW w:w="6257" w:type="dxa"/>
                  <w:tcBorders>
                    <w:top w:val="single" w:color="auto" w:sz="4" w:space="0"/>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kern w:val="0"/>
                      <w:sz w:val="24"/>
                      <w:szCs w:val="24"/>
                      <w:lang w:val="en-US" w:eastAsia="zh-CN"/>
                    </w:rPr>
                    <w:t>4.1</w:t>
                  </w:r>
                  <w:r>
                    <w:rPr>
                      <w:rFonts w:ascii="宋体" w:hAnsi="宋体" w:cs="宋体"/>
                      <w:kern w:val="0"/>
                      <w:sz w:val="24"/>
                      <w:szCs w:val="24"/>
                    </w:rPr>
                    <w:t>有专业人员对临床操作人员进行专业的培训，并对维修工程师进行维护、维修培训。</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20" w:hRule="atLeast"/>
              </w:trPr>
              <w:tc>
                <w:tcPr>
                  <w:tcW w:w="710" w:type="dxa"/>
                  <w:gridSpan w:val="2"/>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5</w:t>
                  </w:r>
                </w:p>
              </w:tc>
              <w:tc>
                <w:tcPr>
                  <w:tcW w:w="1373"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开机率及赔偿</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kern w:val="0"/>
                      <w:sz w:val="24"/>
                      <w:szCs w:val="24"/>
                      <w:lang w:val="en-US" w:eastAsia="zh-CN"/>
                    </w:rPr>
                    <w:t>5.1</w:t>
                  </w:r>
                  <w:r>
                    <w:rPr>
                      <w:rFonts w:ascii="宋体" w:hAnsi="宋体" w:cs="宋体"/>
                      <w:kern w:val="0"/>
                      <w:sz w:val="24"/>
                      <w:szCs w:val="24"/>
                    </w:rPr>
                    <w:t>在保修期内，中标商必须保证设备的开机率&gt;95%；若不能达到此开机率，将作以下处理：⑴开机率在90-95%之间按一赔二延长保修期；⑵开机率在85-90%之间按一赔五延长保修期；⑶开机率低于85%，中标商必须无条件更换新机，并重新计算保修期，以及赔偿用户的直接经济损失和间接经济损失。</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280" w:hRule="atLeast"/>
              </w:trPr>
              <w:tc>
                <w:tcPr>
                  <w:tcW w:w="8340" w:type="dxa"/>
                  <w:gridSpan w:val="4"/>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300" w:lineRule="atLeast"/>
                    <w:jc w:val="left"/>
                    <w:rPr>
                      <w:rFonts w:ascii="宋体" w:hAnsi="宋体" w:cs="宋体"/>
                      <w:kern w:val="0"/>
                      <w:sz w:val="24"/>
                      <w:szCs w:val="24"/>
                    </w:rPr>
                  </w:pPr>
                  <w:r>
                    <w:rPr>
                      <w:rFonts w:ascii="宋体" w:hAnsi="宋体" w:cs="宋体"/>
                      <w:b/>
                      <w:bCs/>
                      <w:color w:val="000000"/>
                      <w:kern w:val="0"/>
                      <w:sz w:val="24"/>
                      <w:szCs w:val="24"/>
                    </w:rPr>
                    <w:t>（二）免费保修期外售后服务要求</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restart"/>
                  <w:tcBorders>
                    <w:top w:val="nil"/>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1</w:t>
                  </w:r>
                </w:p>
              </w:tc>
              <w:tc>
                <w:tcPr>
                  <w:tcW w:w="1431" w:type="dxa"/>
                  <w:gridSpan w:val="2"/>
                  <w:vMerge w:val="restart"/>
                  <w:tcBorders>
                    <w:top w:val="nil"/>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b/>
                      <w:bCs/>
                      <w:color w:val="auto"/>
                      <w:kern w:val="0"/>
                      <w:szCs w:val="21"/>
                    </w:rPr>
                    <w:t>维修零配件、消耗品和延续保修合同的报价</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hint="eastAsia" w:ascii="宋体" w:hAnsi="宋体" w:cs="宋体"/>
                      <w:color w:val="auto"/>
                      <w:kern w:val="0"/>
                      <w:szCs w:val="21"/>
                    </w:rPr>
                  </w:pPr>
                  <w:r>
                    <w:rPr>
                      <w:rFonts w:hint="eastAsia" w:ascii="宋体" w:hAnsi="宋体" w:cs="宋体"/>
                      <w:kern w:val="0"/>
                      <w:sz w:val="24"/>
                      <w:szCs w:val="24"/>
                      <w:lang w:val="en-US" w:eastAsia="zh-CN"/>
                    </w:rPr>
                    <w:t>1.1</w:t>
                  </w:r>
                  <w:r>
                    <w:rPr>
                      <w:rFonts w:ascii="宋体" w:hAnsi="宋体" w:cs="宋体"/>
                      <w:kern w:val="0"/>
                      <w:sz w:val="24"/>
                      <w:szCs w:val="24"/>
                    </w:rPr>
                    <w:t>厂家提供终身维修，终身免费提供软件升级</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1431" w:type="dxa"/>
                  <w:gridSpan w:val="2"/>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w:t>
                  </w:r>
                  <w:r>
                    <w:rPr>
                      <w:rFonts w:hint="eastAsia" w:ascii="宋体" w:hAnsi="宋体" w:cs="宋体"/>
                      <w:color w:val="auto"/>
                      <w:kern w:val="0"/>
                      <w:szCs w:val="21"/>
                      <w:lang w:val="en-US" w:eastAsia="zh-CN"/>
                    </w:rPr>
                    <w:t>2</w:t>
                  </w:r>
                  <w:r>
                    <w:rPr>
                      <w:rFonts w:hint="eastAsia" w:ascii="宋体" w:hAnsi="宋体" w:cs="宋体"/>
                      <w:color w:val="auto"/>
                      <w:kern w:val="0"/>
                      <w:szCs w:val="21"/>
                    </w:rPr>
                    <w:t>由设备制造商提供售后服务，</w:t>
                  </w:r>
                  <w:r>
                    <w:rPr>
                      <w:rFonts w:hint="eastAsia" w:ascii="宋体" w:hAnsi="宋体" w:cs="宋体"/>
                      <w:color w:val="auto"/>
                      <w:kern w:val="0"/>
                      <w:szCs w:val="21"/>
                      <w:u w:val="single"/>
                    </w:rPr>
                    <w:t xml:space="preserve"> 4 </w:t>
                  </w:r>
                  <w:r>
                    <w:rPr>
                      <w:rFonts w:hint="eastAsia" w:ascii="宋体" w:hAnsi="宋体" w:cs="宋体"/>
                      <w:color w:val="auto"/>
                      <w:kern w:val="0"/>
                      <w:szCs w:val="21"/>
                    </w:rPr>
                    <w:t>小时内响应，</w:t>
                  </w:r>
                  <w:r>
                    <w:rPr>
                      <w:rFonts w:hint="eastAsia" w:ascii="宋体" w:hAnsi="宋体" w:cs="宋体"/>
                      <w:color w:val="auto"/>
                      <w:kern w:val="0"/>
                      <w:szCs w:val="21"/>
                      <w:u w:val="single"/>
                    </w:rPr>
                    <w:t xml:space="preserve"> 24 </w:t>
                  </w:r>
                  <w:r>
                    <w:rPr>
                      <w:rFonts w:hint="eastAsia" w:ascii="宋体" w:hAnsi="宋体" w:cs="宋体"/>
                      <w:color w:val="auto"/>
                      <w:kern w:val="0"/>
                      <w:szCs w:val="21"/>
                    </w:rPr>
                    <w:t>小时维修到位（不可抗力情况除外）。消耗品和零配件供应及时，特殊情况下可提供备用机。</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1431" w:type="dxa"/>
                  <w:gridSpan w:val="2"/>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w:t>
                  </w:r>
                  <w:r>
                    <w:rPr>
                      <w:rFonts w:hint="eastAsia" w:ascii="宋体" w:hAnsi="宋体" w:cs="宋体"/>
                      <w:color w:val="auto"/>
                      <w:kern w:val="0"/>
                      <w:szCs w:val="21"/>
                      <w:lang w:val="en-US" w:eastAsia="zh-CN"/>
                    </w:rPr>
                    <w:t>3</w:t>
                  </w:r>
                  <w:r>
                    <w:rPr>
                      <w:rFonts w:hint="eastAsia" w:ascii="宋体" w:hAnsi="宋体" w:cs="宋体"/>
                      <w:color w:val="auto"/>
                      <w:kern w:val="0"/>
                      <w:szCs w:val="21"/>
                    </w:rPr>
                    <w:t>保修期满后，投标人应以优惠价供应维修零配件、消耗品和延续保修合同。零配件、消耗品</w:t>
                  </w:r>
                  <w:r>
                    <w:rPr>
                      <w:rFonts w:hint="eastAsia" w:ascii="宋体" w:hAnsi="宋体" w:cs="宋体"/>
                      <w:color w:val="auto"/>
                      <w:kern w:val="0"/>
                      <w:szCs w:val="21"/>
                      <w:lang w:eastAsia="zh-CN"/>
                    </w:rPr>
                    <w:t>、试剂</w:t>
                  </w:r>
                  <w:r>
                    <w:rPr>
                      <w:rFonts w:hint="eastAsia" w:ascii="宋体" w:hAnsi="宋体" w:cs="宋体"/>
                      <w:color w:val="auto"/>
                      <w:kern w:val="0"/>
                      <w:szCs w:val="21"/>
                    </w:rPr>
                    <w:t>和延续保修合同的报价明细必须填写于《零配件、消耗品和延续保修合同报价明清单》中。</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1431" w:type="dxa"/>
                  <w:gridSpan w:val="2"/>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w:t>
                  </w:r>
                  <w:r>
                    <w:rPr>
                      <w:rFonts w:hint="eastAsia" w:ascii="宋体" w:hAnsi="宋体" w:cs="宋体"/>
                      <w:color w:val="auto"/>
                      <w:kern w:val="0"/>
                      <w:szCs w:val="21"/>
                      <w:lang w:val="en-US" w:eastAsia="zh-CN"/>
                    </w:rPr>
                    <w:t>4</w:t>
                  </w:r>
                  <w:r>
                    <w:rPr>
                      <w:rFonts w:hint="eastAsia" w:ascii="宋体" w:hAnsi="宋体" w:cs="宋体"/>
                      <w:color w:val="auto"/>
                      <w:kern w:val="0"/>
                      <w:szCs w:val="21"/>
                    </w:rPr>
                    <w:t>采购人可与投标人就优惠价进行谈判，但优惠价不得高于投标人在投标文件的《零配件、消耗品和延续保修合同报价明清单》中承诺的维修零配件、消耗品和延续保修合同的报价。</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1431" w:type="dxa"/>
                  <w:gridSpan w:val="2"/>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w:t>
                  </w:r>
                  <w:r>
                    <w:rPr>
                      <w:rFonts w:hint="eastAsia" w:ascii="宋体" w:hAnsi="宋体" w:cs="宋体"/>
                      <w:color w:val="auto"/>
                      <w:kern w:val="0"/>
                      <w:szCs w:val="21"/>
                      <w:lang w:val="en-US" w:eastAsia="zh-CN"/>
                    </w:rPr>
                    <w:t>5</w:t>
                  </w:r>
                  <w:r>
                    <w:rPr>
                      <w:rFonts w:hint="eastAsia" w:ascii="宋体" w:hAnsi="宋体" w:cs="宋体"/>
                      <w:color w:val="auto"/>
                      <w:kern w:val="0"/>
                      <w:szCs w:val="21"/>
                    </w:rPr>
                    <w:t>设备制造商维修的货物经采购人验收合格，且设备制造商提供维修专用发票后，采购人支付维修费用。</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1431" w:type="dxa"/>
                  <w:gridSpan w:val="2"/>
                  <w:vMerge w:val="continue"/>
                  <w:tcBorders>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w:t>
                  </w:r>
                  <w:r>
                    <w:rPr>
                      <w:rFonts w:hint="eastAsia" w:ascii="宋体" w:hAnsi="宋体" w:cs="宋体"/>
                      <w:color w:val="auto"/>
                      <w:kern w:val="0"/>
                      <w:szCs w:val="21"/>
                      <w:lang w:val="en-US" w:eastAsia="zh-CN"/>
                    </w:rPr>
                    <w:t>6</w:t>
                  </w:r>
                  <w:r>
                    <w:rPr>
                      <w:rFonts w:hint="eastAsia" w:ascii="宋体" w:hAnsi="宋体" w:cs="宋体"/>
                      <w:color w:val="auto"/>
                      <w:kern w:val="0"/>
                      <w:szCs w:val="21"/>
                    </w:rPr>
                    <w:t>投标人及设备制造商不得以任何理由不按时进行维修，不得要求采购人购买所谓“保修服务”（即：不论设备有无故障先买保修服务），不得在设备中嵌设任何不利于采购人使用与维修设备的障碍。</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8340" w:type="dxa"/>
                  <w:gridSpan w:val="4"/>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b/>
                      <w:bCs/>
                      <w:color w:val="000000"/>
                      <w:kern w:val="0"/>
                      <w:sz w:val="24"/>
                      <w:szCs w:val="24"/>
                    </w:rPr>
                    <w:t>（三）其他商务要求</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597" w:hRule="atLeast"/>
              </w:trPr>
              <w:tc>
                <w:tcPr>
                  <w:tcW w:w="710" w:type="dxa"/>
                  <w:gridSpan w:val="2"/>
                  <w:vMerge w:val="restart"/>
                  <w:tcBorders>
                    <w:top w:val="nil"/>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1</w:t>
                  </w:r>
                </w:p>
              </w:tc>
              <w:tc>
                <w:tcPr>
                  <w:tcW w:w="1373" w:type="dxa"/>
                  <w:vMerge w:val="restart"/>
                  <w:tcBorders>
                    <w:top w:val="nil"/>
                    <w:left w:val="nil"/>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hint="eastAsia" w:ascii="宋体" w:hAnsi="宋体" w:cs="宋体"/>
                      <w:kern w:val="0"/>
                      <w:sz w:val="24"/>
                      <w:szCs w:val="24"/>
                      <w:lang w:eastAsia="zh-CN"/>
                    </w:rPr>
                    <w:t>交货要求</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1.1</w:t>
                  </w:r>
                  <w:r>
                    <w:rPr>
                      <w:rFonts w:hint="eastAsia" w:ascii="宋体" w:hAnsi="宋体" w:cs="宋体"/>
                      <w:color w:val="auto"/>
                      <w:kern w:val="0"/>
                      <w:szCs w:val="21"/>
                    </w:rPr>
                    <w:t>投标人在签订合同之日起</w:t>
                  </w:r>
                  <w:r>
                    <w:rPr>
                      <w:rFonts w:hint="eastAsia" w:ascii="宋体" w:hAnsi="宋体" w:cs="宋体"/>
                      <w:color w:val="auto"/>
                      <w:kern w:val="0"/>
                      <w:szCs w:val="21"/>
                      <w:u w:val="single"/>
                      <w:lang w:val="en-US" w:eastAsia="zh-CN"/>
                    </w:rPr>
                    <w:t>30</w:t>
                  </w:r>
                  <w:r>
                    <w:rPr>
                      <w:rFonts w:hint="eastAsia" w:ascii="宋体" w:hAnsi="宋体" w:cs="宋体"/>
                      <w:color w:val="auto"/>
                      <w:kern w:val="0"/>
                      <w:szCs w:val="21"/>
                    </w:rPr>
                    <w:t>天内交货</w:t>
                  </w:r>
                  <w:r>
                    <w:rPr>
                      <w:rFonts w:ascii="宋体" w:hAnsi="宋体" w:cs="宋体"/>
                      <w:kern w:val="0"/>
                      <w:sz w:val="24"/>
                      <w:szCs w:val="24"/>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66" w:hRule="atLeast"/>
              </w:trPr>
              <w:tc>
                <w:tcPr>
                  <w:tcW w:w="710" w:type="dxa"/>
                  <w:gridSpan w:val="2"/>
                  <w:vMerge w:val="continue"/>
                  <w:tcBorders>
                    <w:left w:val="single" w:color="auto" w:sz="8" w:space="0"/>
                    <w:right w:val="single" w:color="auto" w:sz="8" w:space="0"/>
                  </w:tcBorders>
                  <w:noWrap w:val="0"/>
                  <w:vAlign w:val="center"/>
                </w:tcPr>
                <w:p>
                  <w:pPr>
                    <w:widowControl/>
                    <w:jc w:val="left"/>
                    <w:rPr>
                      <w:rFonts w:ascii="宋体" w:hAnsi="宋体" w:cs="宋体"/>
                      <w:kern w:val="0"/>
                      <w:sz w:val="24"/>
                      <w:szCs w:val="24"/>
                    </w:rPr>
                  </w:pPr>
                </w:p>
              </w:tc>
              <w:tc>
                <w:tcPr>
                  <w:tcW w:w="1373" w:type="dxa"/>
                  <w:vMerge w:val="continue"/>
                  <w:tcBorders>
                    <w:left w:val="nil"/>
                    <w:right w:val="single" w:color="auto" w:sz="8" w:space="0"/>
                  </w:tcBorders>
                  <w:noWrap w:val="0"/>
                  <w:vAlign w:val="center"/>
                </w:tcPr>
                <w:p>
                  <w:pPr>
                    <w:widowControl/>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1.2</w:t>
                  </w:r>
                  <w:r>
                    <w:rPr>
                      <w:rFonts w:hint="eastAsia" w:ascii="宋体" w:hAnsi="宋体" w:cs="宋体"/>
                      <w:color w:val="auto"/>
                      <w:kern w:val="0"/>
                      <w:szCs w:val="21"/>
                    </w:rPr>
                    <w:t>投标人应提供货物的技术文件，包括但不限于设备配置清单、产品说明书、图纸、操作手册、维护手册（含维修密码及接口数据）、质量保证文件、服务指南等，所有外文资料须提供中文译本。文件应随货物一并交付至采购人指定地点</w:t>
                  </w:r>
                  <w:r>
                    <w:rPr>
                      <w:rFonts w:ascii="宋体" w:hAnsi="宋体" w:cs="宋体"/>
                      <w:kern w:val="0"/>
                      <w:sz w:val="24"/>
                      <w:szCs w:val="24"/>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66" w:hRule="atLeast"/>
              </w:trPr>
              <w:tc>
                <w:tcPr>
                  <w:tcW w:w="710" w:type="dxa"/>
                  <w:gridSpan w:val="2"/>
                  <w:vMerge w:val="continue"/>
                  <w:tcBorders>
                    <w:left w:val="single" w:color="auto" w:sz="8" w:space="0"/>
                    <w:bottom w:val="single" w:color="auto" w:sz="4" w:space="0"/>
                    <w:right w:val="single" w:color="auto" w:sz="8" w:space="0"/>
                  </w:tcBorders>
                  <w:noWrap w:val="0"/>
                  <w:vAlign w:val="center"/>
                </w:tcPr>
                <w:p>
                  <w:pPr>
                    <w:widowControl/>
                    <w:jc w:val="left"/>
                    <w:rPr>
                      <w:rFonts w:ascii="宋体" w:hAnsi="宋体" w:cs="宋体"/>
                      <w:kern w:val="0"/>
                      <w:sz w:val="24"/>
                      <w:szCs w:val="24"/>
                    </w:rPr>
                  </w:pPr>
                </w:p>
              </w:tc>
              <w:tc>
                <w:tcPr>
                  <w:tcW w:w="1373" w:type="dxa"/>
                  <w:vMerge w:val="continue"/>
                  <w:tcBorders>
                    <w:left w:val="nil"/>
                    <w:bottom w:val="single" w:color="auto" w:sz="4" w:space="0"/>
                    <w:right w:val="single" w:color="auto" w:sz="8" w:space="0"/>
                  </w:tcBorders>
                  <w:noWrap w:val="0"/>
                  <w:vAlign w:val="center"/>
                </w:tcPr>
                <w:p>
                  <w:pPr>
                    <w:widowControl/>
                    <w:jc w:val="left"/>
                    <w:rPr>
                      <w:rFonts w:ascii="宋体" w:hAnsi="宋体" w:cs="宋体"/>
                      <w:kern w:val="0"/>
                      <w:sz w:val="24"/>
                      <w:szCs w:val="24"/>
                    </w:rPr>
                  </w:pPr>
                </w:p>
              </w:tc>
              <w:tc>
                <w:tcPr>
                  <w:tcW w:w="6257" w:type="dxa"/>
                  <w:tcBorders>
                    <w:top w:val="nil"/>
                    <w:left w:val="nil"/>
                    <w:bottom w:val="single" w:color="auto" w:sz="4"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spacing w:val="-3"/>
                      <w:kern w:val="0"/>
                      <w:szCs w:val="21"/>
                    </w:rPr>
                    <w:t>1.3提供的货物必须为全新、经检验合格的产品。产品如需要计量检定的应提供相关计量检定部门出具的合法检定报告。其中，进口设备必须具有</w:t>
                  </w:r>
                  <w:r>
                    <w:rPr>
                      <w:rFonts w:hint="eastAsia" w:ascii="宋体" w:hAnsi="宋体" w:cs="宋体"/>
                      <w:color w:val="auto"/>
                      <w:kern w:val="0"/>
                      <w:szCs w:val="21"/>
                    </w:rPr>
                    <w:t>报关证明</w:t>
                  </w:r>
                  <w:r>
                    <w:rPr>
                      <w:rFonts w:hint="eastAsia" w:ascii="宋体" w:hAnsi="宋体" w:cs="宋体"/>
                      <w:color w:val="auto"/>
                      <w:spacing w:val="-3"/>
                      <w:kern w:val="0"/>
                      <w:szCs w:val="21"/>
                    </w:rPr>
                    <w:t>文件、</w:t>
                  </w:r>
                  <w:r>
                    <w:rPr>
                      <w:rFonts w:hint="eastAsia" w:ascii="宋体" w:hAnsi="宋体" w:cs="宋体"/>
                      <w:color w:val="auto"/>
                      <w:kern w:val="0"/>
                      <w:szCs w:val="21"/>
                    </w:rPr>
                    <w:t>原产地证明和</w:t>
                  </w:r>
                  <w:r>
                    <w:rPr>
                      <w:rFonts w:hint="eastAsia" w:ascii="宋体" w:hAnsi="宋体" w:cs="宋体"/>
                      <w:color w:val="auto"/>
                      <w:spacing w:val="-3"/>
                      <w:kern w:val="0"/>
                      <w:szCs w:val="21"/>
                    </w:rPr>
                    <w:t>商检合格证明文件。</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2</w:t>
                  </w:r>
                </w:p>
              </w:tc>
              <w:tc>
                <w:tcPr>
                  <w:tcW w:w="1373" w:type="dxa"/>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hint="eastAsia" w:ascii="宋体" w:hAnsi="宋体" w:cs="宋体"/>
                      <w:b/>
                      <w:bCs/>
                      <w:color w:val="auto"/>
                      <w:kern w:val="0"/>
                      <w:szCs w:val="21"/>
                    </w:rPr>
                    <w:t>运输、安装和验收</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2.1投标人负责将货物安全无损运抵采购人指定地点,并承担设备的包装、运输、保险、装卸、安装调试、培训、商检及计量检测、关税、增值税和进口代理等费用。</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1373"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2.2采购人有权检验或测试货物，以确认货物是否符合合同规格的要求，并且不承担额外的费用。如果发现所交货物与投标文件中所承诺的不符或存在质量、技术缺陷等,采购人可以拒绝接收该货物,投标人应在</w:t>
                  </w:r>
                  <w:r>
                    <w:rPr>
                      <w:rFonts w:hint="eastAsia" w:ascii="宋体" w:hAnsi="宋体" w:cs="宋体"/>
                      <w:color w:val="auto"/>
                      <w:kern w:val="0"/>
                      <w:szCs w:val="21"/>
                      <w:u w:val="single"/>
                    </w:rPr>
                    <w:t xml:space="preserve"> 7 </w:t>
                  </w:r>
                  <w:r>
                    <w:rPr>
                      <w:rFonts w:hint="eastAsia" w:ascii="宋体" w:hAnsi="宋体" w:cs="宋体"/>
                      <w:color w:val="auto"/>
                      <w:kern w:val="0"/>
                      <w:szCs w:val="21"/>
                    </w:rPr>
                    <w:t>天内采取补足、更换或退货等措施,以满足规格的要求，由此发生的一切损失和费用由投标人承担。</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1373"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spacing w:val="-3"/>
                      <w:kern w:val="0"/>
                      <w:szCs w:val="21"/>
                    </w:rPr>
                    <w:t>2.3投标人负责货物的现场安装和调试,提供货物安装、调试和维修所需的专用工具和辅助材料。投标人应在货物运至指定地点后一周内开始安装调试,并在</w:t>
                  </w:r>
                  <w:r>
                    <w:rPr>
                      <w:rFonts w:hint="eastAsia" w:ascii="宋体" w:hAnsi="宋体" w:cs="宋体"/>
                      <w:color w:val="auto"/>
                      <w:kern w:val="0"/>
                      <w:szCs w:val="21"/>
                      <w:u w:val="single"/>
                    </w:rPr>
                    <w:t xml:space="preserve"> 7 </w:t>
                  </w:r>
                  <w:r>
                    <w:rPr>
                      <w:rFonts w:hint="eastAsia" w:ascii="宋体" w:hAnsi="宋体" w:cs="宋体"/>
                      <w:color w:val="auto"/>
                      <w:spacing w:val="-3"/>
                      <w:kern w:val="0"/>
                      <w:szCs w:val="21"/>
                    </w:rPr>
                    <w:t>天内安装调试完毕。</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1373"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spacing w:val="-3"/>
                      <w:kern w:val="0"/>
                      <w:szCs w:val="21"/>
                    </w:rPr>
                    <w:t>2.4由投标人代表和采购人组成验收小组对产品进行验收。验收标准按照国家规定标准执行。经检验设备正常运作后签署验收报告,产品保修期自验收合格之日起算。</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3</w:t>
                  </w:r>
                </w:p>
              </w:tc>
              <w:tc>
                <w:tcPr>
                  <w:tcW w:w="1373"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hint="eastAsia" w:ascii="宋体" w:hAnsi="宋体" w:cs="宋体"/>
                      <w:b/>
                      <w:bCs/>
                      <w:color w:val="auto"/>
                      <w:kern w:val="0"/>
                      <w:szCs w:val="21"/>
                    </w:rPr>
                    <w:t>培训</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3.1中标人应派专业技术人员免费对采购单位指定人员进行定期培训及指导，直至其完全掌握设备的基本故障处理技术。</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4</w:t>
                  </w:r>
                </w:p>
              </w:tc>
              <w:tc>
                <w:tcPr>
                  <w:tcW w:w="1373" w:type="dxa"/>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hint="eastAsia" w:ascii="宋体" w:hAnsi="宋体" w:cs="宋体"/>
                      <w:b/>
                      <w:bCs/>
                      <w:color w:val="auto"/>
                      <w:kern w:val="0"/>
                      <w:szCs w:val="21"/>
                    </w:rPr>
                    <w:t>知识产权</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4.1投标人应保证采购人在使用该货物或其任何一部分时，免受第三方提出的侵犯其专利权、商标权、著作权或其它知识产权的起诉。投标人保证所提供软件的合法性，所发生的任何知识产权纠纷与采购人无关。</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1373"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4.2采购人购买产品后，有权对该产品与其他设备进行配套、整合或适当改进，而免受侵犯专利权的起诉。</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restart"/>
                  <w:tcBorders>
                    <w:top w:val="single" w:color="auto" w:sz="4" w:space="0"/>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eastAsia="zh-CN"/>
                    </w:rPr>
                  </w:pPr>
                  <w:r>
                    <w:rPr>
                      <w:rFonts w:hint="eastAsia" w:ascii="宋体" w:hAnsi="宋体" w:cs="宋体"/>
                      <w:kern w:val="0"/>
                      <w:sz w:val="24"/>
                      <w:szCs w:val="24"/>
                      <w:lang w:val="en-US" w:eastAsia="zh-CN"/>
                    </w:rPr>
                    <w:t>5</w:t>
                  </w:r>
                </w:p>
              </w:tc>
              <w:tc>
                <w:tcPr>
                  <w:tcW w:w="1373" w:type="dxa"/>
                  <w:vMerge w:val="restart"/>
                  <w:tcBorders>
                    <w:top w:val="single" w:color="auto" w:sz="4" w:space="0"/>
                    <w:left w:val="nil"/>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hint="eastAsia" w:ascii="宋体" w:hAnsi="宋体" w:cs="宋体"/>
                      <w:b/>
                      <w:bCs/>
                      <w:color w:val="auto"/>
                      <w:kern w:val="0"/>
                      <w:szCs w:val="21"/>
                    </w:rPr>
                    <w:t>付款</w:t>
                  </w:r>
                </w:p>
              </w:tc>
              <w:tc>
                <w:tcPr>
                  <w:tcW w:w="6257" w:type="dxa"/>
                  <w:tcBorders>
                    <w:top w:val="single" w:color="auto" w:sz="4" w:space="0"/>
                    <w:left w:val="nil"/>
                    <w:bottom w:val="single" w:color="auto" w:sz="4"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300" w:lineRule="atLeast"/>
                    <w:jc w:val="left"/>
                    <w:rPr>
                      <w:rFonts w:hint="default" w:ascii="宋体" w:hAnsi="宋体" w:cs="宋体"/>
                      <w:kern w:val="0"/>
                      <w:sz w:val="24"/>
                      <w:szCs w:val="24"/>
                      <w:lang w:val="en-US"/>
                    </w:rPr>
                  </w:pPr>
                  <w:r>
                    <w:rPr>
                      <w:rFonts w:hint="eastAsia" w:ascii="宋体" w:hAnsi="宋体" w:cs="宋体"/>
                      <w:kern w:val="0"/>
                      <w:sz w:val="24"/>
                      <w:szCs w:val="24"/>
                      <w:lang w:val="en-US" w:eastAsia="zh-CN"/>
                    </w:rPr>
                    <w:t>5.1</w:t>
                  </w:r>
                  <w:r>
                    <w:rPr>
                      <w:rFonts w:ascii="宋体" w:hAnsi="宋体" w:cs="宋体"/>
                      <w:kern w:val="0"/>
                      <w:sz w:val="24"/>
                      <w:szCs w:val="24"/>
                    </w:rPr>
                    <w:t>、付款条件：货到安装验收合格并提供全额发票后30天内中标方向采购方付货款5%质保金，采购方收到质保金后再由财政部门支付100%货款给中标方。质保金在设备验收合格后正常运转一年并无故障的情况下由采购方退还给中标方。</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hint="default" w:ascii="宋体" w:hAnsi="宋体" w:cs="宋体"/>
                      <w:kern w:val="0"/>
                      <w:sz w:val="24"/>
                      <w:szCs w:val="24"/>
                      <w:lang w:val="en-US"/>
                    </w:rPr>
                  </w:pPr>
                </w:p>
              </w:tc>
              <w:tc>
                <w:tcPr>
                  <w:tcW w:w="1373" w:type="dxa"/>
                  <w:vMerge w:val="continue"/>
                  <w:tcBorders>
                    <w:left w:val="nil"/>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nil"/>
                    <w:bottom w:val="single" w:color="auto" w:sz="4"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300" w:lineRule="atLeast"/>
                    <w:jc w:val="left"/>
                    <w:rPr>
                      <w:rFonts w:hint="default" w:ascii="宋体" w:hAnsi="宋体" w:cs="宋体"/>
                      <w:kern w:val="0"/>
                      <w:sz w:val="24"/>
                      <w:szCs w:val="24"/>
                      <w:lang w:val="en-US"/>
                    </w:rPr>
                  </w:pPr>
                  <w:r>
                    <w:rPr>
                      <w:rFonts w:ascii="宋体" w:hAnsi="宋体" w:cs="宋体"/>
                      <w:kern w:val="0"/>
                      <w:sz w:val="24"/>
                      <w:szCs w:val="24"/>
                    </w:rPr>
                    <w:t>由于供应商的原因，未能按时供货，每迟一天罚款合同总额的0.5%；如超过供货期30天，我院将终止合同并通过法律程序对供应商进行索赔。</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left w:val="single" w:color="auto" w:sz="8" w:space="0"/>
                    <w:bottom w:val="single" w:color="auto" w:sz="4"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eastAsia="zh-CN"/>
                    </w:rPr>
                  </w:pPr>
                </w:p>
              </w:tc>
              <w:tc>
                <w:tcPr>
                  <w:tcW w:w="1373" w:type="dxa"/>
                  <w:vMerge w:val="continue"/>
                  <w:tcBorders>
                    <w:left w:val="nil"/>
                    <w:bottom w:val="single" w:color="auto" w:sz="4"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nil"/>
                    <w:bottom w:val="single" w:color="auto" w:sz="4"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300" w:lineRule="atLeast"/>
                    <w:jc w:val="left"/>
                    <w:rPr>
                      <w:rFonts w:ascii="宋体" w:hAnsi="宋体" w:cs="宋体"/>
                      <w:kern w:val="0"/>
                      <w:sz w:val="24"/>
                      <w:szCs w:val="24"/>
                    </w:rPr>
                  </w:pPr>
                  <w:r>
                    <w:rPr>
                      <w:rFonts w:hint="eastAsia" w:ascii="宋体" w:hAnsi="宋体" w:cs="宋体"/>
                      <w:kern w:val="0"/>
                      <w:sz w:val="24"/>
                      <w:szCs w:val="24"/>
                      <w:lang w:val="en-US" w:eastAsia="zh-CN"/>
                    </w:rPr>
                    <w:t>5.3</w:t>
                  </w:r>
                  <w:r>
                    <w:rPr>
                      <w:rFonts w:ascii="宋体" w:hAnsi="宋体" w:cs="宋体"/>
                      <w:kern w:val="0"/>
                      <w:sz w:val="24"/>
                      <w:szCs w:val="24"/>
                    </w:rPr>
                    <w:t>由于供应商的原因，在货到一周内未进行安装调试，或安装调试时间超过正常要求，按每超过一天罚款合同总额的0.5%或按我院损失罚款。情节严重者，我院将依法律程序对供应商进行索赔</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restart"/>
                  <w:tcBorders>
                    <w:top w:val="single" w:color="auto" w:sz="4" w:space="0"/>
                    <w:left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6</w:t>
                  </w:r>
                </w:p>
              </w:tc>
              <w:tc>
                <w:tcPr>
                  <w:tcW w:w="1373" w:type="dxa"/>
                  <w:vMerge w:val="restart"/>
                  <w:tcBorders>
                    <w:top w:val="single" w:color="auto" w:sz="4" w:space="0"/>
                    <w:left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r>
                    <w:rPr>
                      <w:rFonts w:hint="eastAsia" w:ascii="宋体" w:hAnsi="宋体" w:cs="宋体"/>
                      <w:b/>
                      <w:bCs/>
                      <w:color w:val="auto"/>
                      <w:kern w:val="0"/>
                      <w:szCs w:val="21"/>
                    </w:rPr>
                    <w:t>违约责任</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rPr>
                      <w:rFonts w:ascii="宋体" w:hAnsi="宋体" w:cs="宋体"/>
                      <w:kern w:val="0"/>
                      <w:sz w:val="24"/>
                      <w:szCs w:val="24"/>
                    </w:rPr>
                  </w:pPr>
                  <w:r>
                    <w:rPr>
                      <w:rFonts w:hint="eastAsia" w:ascii="宋体" w:hAnsi="宋体" w:cs="宋体"/>
                      <w:color w:val="auto"/>
                      <w:szCs w:val="21"/>
                    </w:rPr>
                    <w:t>6.1中标人不能交货的，需偿付不能交货部分货款的</w:t>
                  </w:r>
                  <w:r>
                    <w:rPr>
                      <w:rFonts w:hint="eastAsia" w:ascii="宋体" w:hAnsi="宋体" w:cs="宋体"/>
                      <w:color w:val="auto"/>
                      <w:szCs w:val="21"/>
                      <w:u w:val="single"/>
                    </w:rPr>
                    <w:t xml:space="preserve">  10  </w:t>
                  </w:r>
                  <w:r>
                    <w:rPr>
                      <w:rFonts w:hint="eastAsia" w:ascii="宋体" w:hAnsi="宋体" w:cs="宋体"/>
                      <w:color w:val="auto"/>
                      <w:szCs w:val="21"/>
                    </w:rPr>
                    <w:t>%的违约金并按主管部门相关规定处理。</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left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default" w:ascii="宋体" w:hAnsi="宋体" w:cs="宋体"/>
                      <w:kern w:val="0"/>
                      <w:sz w:val="24"/>
                      <w:szCs w:val="24"/>
                      <w:lang w:val="en-US"/>
                    </w:rPr>
                  </w:pPr>
                </w:p>
              </w:tc>
              <w:tc>
                <w:tcPr>
                  <w:tcW w:w="1373" w:type="dxa"/>
                  <w:vMerge w:val="continue"/>
                  <w:tcBorders>
                    <w:left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szCs w:val="21"/>
                    </w:rPr>
                    <w:t>6.2中标人逾期交货的，将被没收履约保证金并按主管部门相关规定处理。</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default" w:ascii="宋体" w:hAnsi="宋体" w:cs="宋体"/>
                      <w:kern w:val="0"/>
                      <w:sz w:val="24"/>
                      <w:szCs w:val="24"/>
                      <w:lang w:val="en-US"/>
                    </w:rPr>
                  </w:pPr>
                </w:p>
              </w:tc>
              <w:tc>
                <w:tcPr>
                  <w:tcW w:w="1373" w:type="dxa"/>
                  <w:vMerge w:val="continue"/>
                  <w:tcBorders>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szCs w:val="21"/>
                    </w:rPr>
                    <w:t>6.3中标人所交付产品、工程或服务不符合其投标承诺的，或在投标阶段为了中标而盲目虚假承诺、低价恶性竞争，在履约阶段则通过偷工减料、以次充好而获取利润的，</w:t>
                  </w:r>
                  <w:r>
                    <w:rPr>
                      <w:rFonts w:hint="eastAsia" w:ascii="宋体" w:hAnsi="宋体" w:cs="宋体"/>
                      <w:color w:val="auto"/>
                      <w:szCs w:val="21"/>
                      <w:lang w:eastAsia="zh-CN"/>
                    </w:rPr>
                    <w:t>被列入深圳市儿童医院履约等级“差”评，三年内不得参与我院招投标项目</w:t>
                  </w:r>
                  <w:r>
                    <w:rPr>
                      <w:rFonts w:hint="eastAsia" w:ascii="宋体" w:hAnsi="宋体" w:cs="宋体"/>
                      <w:color w:val="auto"/>
                      <w:szCs w:val="21"/>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eastAsia="zh-CN"/>
                    </w:rPr>
                  </w:pPr>
                  <w:r>
                    <w:rPr>
                      <w:rFonts w:hint="eastAsia" w:ascii="宋体" w:hAnsi="宋体" w:cs="宋体"/>
                      <w:kern w:val="0"/>
                      <w:sz w:val="24"/>
                      <w:szCs w:val="24"/>
                      <w:lang w:val="en-US" w:eastAsia="zh-CN"/>
                    </w:rPr>
                    <w:t>7</w:t>
                  </w:r>
                </w:p>
              </w:tc>
              <w:tc>
                <w:tcPr>
                  <w:tcW w:w="1373"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center"/>
                    <w:rPr>
                      <w:rFonts w:ascii="宋体" w:hAnsi="宋体" w:cs="宋体"/>
                      <w:kern w:val="0"/>
                      <w:sz w:val="24"/>
                      <w:szCs w:val="24"/>
                    </w:rPr>
                  </w:pPr>
                  <w:r>
                    <w:rPr>
                      <w:rFonts w:hint="eastAsia" w:ascii="宋体" w:hAnsi="宋体" w:cs="宋体"/>
                      <w:b/>
                      <w:bCs/>
                      <w:color w:val="auto"/>
                      <w:kern w:val="0"/>
                      <w:szCs w:val="21"/>
                    </w:rPr>
                    <w:t>其他</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7.1投标人应按其投标文件中的承诺，进行其他售后服务工作。</w:t>
                  </w:r>
                </w:p>
              </w:tc>
            </w:tr>
          </w:tbl>
          <w:p>
            <w:pPr>
              <w:widowControl/>
              <w:jc w:val="left"/>
              <w:rPr>
                <w:rFonts w:ascii="宋体" w:hAnsi="宋体" w:cs="宋体"/>
                <w:kern w:val="0"/>
                <w:sz w:val="24"/>
                <w:szCs w:val="24"/>
              </w:rPr>
            </w:pPr>
          </w:p>
        </w:tc>
      </w:tr>
    </w:tbl>
    <w:p>
      <w:pPr>
        <w:rPr>
          <w:rFonts w:hint="eastAsia"/>
        </w:rPr>
      </w:pPr>
    </w:p>
    <w:p>
      <w:pPr>
        <w:jc w:val="left"/>
        <w:rPr>
          <w:rFonts w:asciiTheme="minorEastAsia" w:hAnsiTheme="minorEastAsia" w:eastAsiaTheme="minorEastAsia"/>
          <w:b/>
          <w:bCs/>
          <w:color w:val="FF0000"/>
          <w:sz w:val="24"/>
          <w:szCs w:val="24"/>
        </w:rPr>
      </w:pPr>
    </w:p>
    <w:p>
      <w:pPr>
        <w:jc w:val="left"/>
        <w:rPr>
          <w:rFonts w:asciiTheme="minorEastAsia" w:hAnsiTheme="minorEastAsia" w:eastAsiaTheme="minorEastAsia"/>
          <w:b/>
          <w:bCs/>
          <w:color w:val="FF0000"/>
          <w:sz w:val="24"/>
          <w:szCs w:val="24"/>
        </w:rPr>
      </w:pPr>
    </w:p>
    <w:p>
      <w:pPr>
        <w:rPr>
          <w:rFonts w:asciiTheme="minorEastAsia" w:hAnsiTheme="minorEastAsia" w:eastAsiaTheme="minorEastAsia"/>
          <w:sz w:val="24"/>
          <w:szCs w:val="24"/>
        </w:rPr>
      </w:pPr>
    </w:p>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第二节  具体技术要求</w:t>
      </w:r>
    </w:p>
    <w:p>
      <w:pPr>
        <w:spacing w:line="360" w:lineRule="auto"/>
        <w:ind w:right="105" w:rightChars="50"/>
        <w:jc w:val="left"/>
        <w:rPr>
          <w:rFonts w:asciiTheme="minorEastAsia" w:hAnsiTheme="minorEastAsia" w:eastAsiaTheme="minorEastAsia"/>
          <w:sz w:val="24"/>
          <w:szCs w:val="24"/>
        </w:rPr>
      </w:pPr>
      <w:r>
        <w:rPr>
          <w:rFonts w:hint="eastAsia" w:asciiTheme="minorEastAsia" w:hAnsiTheme="minorEastAsia" w:eastAsiaTheme="minorEastAsia"/>
          <w:sz w:val="24"/>
          <w:szCs w:val="24"/>
        </w:rPr>
        <w:t>重要提示：</w:t>
      </w:r>
    </w:p>
    <w:p>
      <w:pPr>
        <w:spacing w:line="360" w:lineRule="auto"/>
        <w:ind w:right="105" w:rightChars="50"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投标人须如实填写《技术规格偏离表》，并按招标文件的要求提供相关证明资料，包括产品原厂说明书或产品彩页等。提供的证明资料与投标响应情况不相符的，视为《技术规格偏离表》填写不实。</w:t>
      </w:r>
    </w:p>
    <w:p>
      <w:pPr>
        <w:pStyle w:val="5"/>
        <w:spacing w:line="300" w:lineRule="auto"/>
        <w:jc w:val="center"/>
        <w:rPr>
          <w:rFonts w:asciiTheme="minorEastAsia" w:hAnsiTheme="minorEastAsia" w:eastAsiaTheme="minorEastAsia"/>
          <w:szCs w:val="24"/>
        </w:rPr>
      </w:pPr>
      <w:bookmarkStart w:id="12" w:name="_Toc201998022"/>
      <w:bookmarkStart w:id="13" w:name="_Toc201743194"/>
      <w:bookmarkStart w:id="14" w:name="_Toc313109540"/>
      <w:r>
        <w:rPr>
          <w:rFonts w:hint="eastAsia" w:asciiTheme="minorEastAsia" w:hAnsiTheme="minorEastAsia" w:eastAsiaTheme="minorEastAsia"/>
          <w:szCs w:val="24"/>
        </w:rPr>
        <w:t>具体技术要求表</w:t>
      </w:r>
    </w:p>
    <w:bookmarkEnd w:id="12"/>
    <w:bookmarkEnd w:id="13"/>
    <w:bookmarkEnd w:id="14"/>
    <w:tbl>
      <w:tblPr>
        <w:tblStyle w:val="13"/>
        <w:tblW w:w="7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1843"/>
        <w:gridCol w:w="5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775"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序号</w:t>
            </w:r>
          </w:p>
        </w:tc>
        <w:tc>
          <w:tcPr>
            <w:tcW w:w="1843"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货物名称</w:t>
            </w:r>
          </w:p>
        </w:tc>
        <w:tc>
          <w:tcPr>
            <w:tcW w:w="5109"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招标技术要求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Merge w:val="restart"/>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843" w:type="dxa"/>
            <w:vMerge w:val="restart"/>
            <w:vAlign w:val="center"/>
          </w:tcPr>
          <w:p>
            <w:pPr>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r>
              <w:rPr>
                <w:rFonts w:hint="eastAsia" w:asciiTheme="minorEastAsia" w:hAnsiTheme="minorEastAsia" w:eastAsiaTheme="minorEastAsia"/>
                <w:sz w:val="24"/>
                <w:szCs w:val="24"/>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Merge w:val="continue"/>
            <w:vAlign w:val="center"/>
          </w:tcPr>
          <w:p>
            <w:pPr>
              <w:jc w:val="center"/>
              <w:rPr>
                <w:rFonts w:asciiTheme="minorEastAsia" w:hAnsiTheme="minorEastAsia" w:eastAsiaTheme="minorEastAsia"/>
                <w:sz w:val="24"/>
                <w:szCs w:val="24"/>
              </w:rPr>
            </w:pPr>
          </w:p>
        </w:tc>
        <w:tc>
          <w:tcPr>
            <w:tcW w:w="1843" w:type="dxa"/>
            <w:vMerge w:val="continue"/>
            <w:vAlign w:val="center"/>
          </w:tcPr>
          <w:p>
            <w:pPr>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r>
              <w:rPr>
                <w:rFonts w:hint="eastAsia" w:asciiTheme="minorEastAsia" w:hAnsiTheme="minorEastAsia" w:eastAsiaTheme="minorEastAsia"/>
                <w:sz w:val="24"/>
                <w:szCs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Merge w:val="continue"/>
            <w:vAlign w:val="center"/>
          </w:tcPr>
          <w:p>
            <w:pPr>
              <w:jc w:val="center"/>
              <w:rPr>
                <w:rFonts w:asciiTheme="minorEastAsia" w:hAnsiTheme="minorEastAsia" w:eastAsiaTheme="minorEastAsia"/>
                <w:sz w:val="24"/>
                <w:szCs w:val="24"/>
              </w:rPr>
            </w:pPr>
          </w:p>
        </w:tc>
        <w:tc>
          <w:tcPr>
            <w:tcW w:w="1843" w:type="dxa"/>
            <w:vMerge w:val="continue"/>
            <w:vAlign w:val="center"/>
          </w:tcPr>
          <w:p>
            <w:pPr>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r>
              <w:rPr>
                <w:rFonts w:hint="eastAsia" w:asciiTheme="minorEastAsia" w:hAnsiTheme="minorEastAsia" w:eastAsiaTheme="minorEastAsia"/>
                <w:b/>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775"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843" w:type="dxa"/>
            <w:vAlign w:val="center"/>
          </w:tcPr>
          <w:p>
            <w:pPr>
              <w:widowControl/>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3</w:t>
            </w:r>
          </w:p>
        </w:tc>
        <w:tc>
          <w:tcPr>
            <w:tcW w:w="1843" w:type="dxa"/>
            <w:vAlign w:val="center"/>
          </w:tcPr>
          <w:p>
            <w:pPr>
              <w:widowControl/>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4</w:t>
            </w:r>
          </w:p>
        </w:tc>
        <w:tc>
          <w:tcPr>
            <w:tcW w:w="1843" w:type="dxa"/>
            <w:vAlign w:val="center"/>
          </w:tcPr>
          <w:p>
            <w:pPr>
              <w:widowControl/>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w:t>
            </w:r>
          </w:p>
        </w:tc>
        <w:tc>
          <w:tcPr>
            <w:tcW w:w="1843" w:type="dxa"/>
            <w:vAlign w:val="center"/>
          </w:tcPr>
          <w:p>
            <w:pPr>
              <w:widowControl/>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p>
        </w:tc>
      </w:tr>
    </w:tbl>
    <w:p>
      <w:pPr>
        <w:pStyle w:val="5"/>
        <w:spacing w:line="300" w:lineRule="auto"/>
        <w:rPr>
          <w:rFonts w:asciiTheme="minorEastAsia" w:hAnsiTheme="minorEastAsia" w:eastAsiaTheme="minorEastAsia"/>
          <w:b w:val="0"/>
          <w:szCs w:val="24"/>
        </w:rPr>
      </w:pPr>
      <w:r>
        <w:rPr>
          <w:rFonts w:hint="eastAsia" w:asciiTheme="minorEastAsia" w:hAnsiTheme="minorEastAsia" w:eastAsiaTheme="minorEastAsia"/>
          <w:b w:val="0"/>
          <w:szCs w:val="24"/>
        </w:rPr>
        <w:t>提示：若招标文件本节表格内容空白，则投标人应根据招标文件相关全部技术要求填写“技术规格偏离表”。</w:t>
      </w:r>
    </w:p>
    <w:p>
      <w:pPr>
        <w:tabs>
          <w:tab w:val="left" w:pos="1114"/>
        </w:tabs>
        <w:rPr>
          <w:rFonts w:asciiTheme="minorEastAsia" w:hAnsiTheme="minorEastAsia" w:eastAsiaTheme="minorEastAsia"/>
          <w:sz w:val="24"/>
          <w:szCs w:val="24"/>
        </w:rPr>
      </w:pPr>
    </w:p>
    <w:p>
      <w:pPr>
        <w:tabs>
          <w:tab w:val="left" w:pos="1114"/>
        </w:tabs>
        <w:rPr>
          <w:rFonts w:asciiTheme="minorEastAsia" w:hAnsiTheme="minorEastAsia" w:eastAsiaTheme="minorEastAsia"/>
          <w:sz w:val="24"/>
          <w:szCs w:val="24"/>
        </w:rPr>
      </w:pPr>
    </w:p>
    <w:sectPr>
      <w:pgSz w:w="11906" w:h="16838"/>
      <w:pgMar w:top="1701" w:right="1588" w:bottom="1304" w:left="1588" w:header="1247" w:footer="737" w:gutter="0"/>
      <w:cols w:space="425" w:num="1"/>
      <w:docGrid w:linePitch="380" w:charSpace="-43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长城仿宋">
    <w:altName w:val="黑体"/>
    <w:panose1 w:val="00000000000000000000"/>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103315"/>
    </w:sdtPr>
    <w:sdtContent>
      <w:p>
        <w:pPr>
          <w:pStyle w:val="10"/>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rFonts w:hint="eastAsia"/>
      </w:rPr>
      <w:t>圳</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68503C"/>
    <w:multiLevelType w:val="multilevel"/>
    <w:tmpl w:val="0E68503C"/>
    <w:lvl w:ilvl="0" w:tentative="0">
      <w:start w:val="1"/>
      <w:numFmt w:val="decimal"/>
      <w:lvlText w:val="%1、"/>
      <w:lvlJc w:val="left"/>
      <w:pPr>
        <w:ind w:left="360" w:hanging="360"/>
      </w:pPr>
      <w:rPr>
        <w:rFonts w:hint="default" w:ascii="Calibri" w:hAnsi="Calibri" w:eastAsia="宋体" w:cs="Times New Roman"/>
      </w:rPr>
    </w:lvl>
    <w:lvl w:ilvl="1" w:tentative="0">
      <w:start w:val="1"/>
      <w:numFmt w:val="japaneseCounting"/>
      <w:lvlText w:val="（%2）"/>
      <w:lvlJc w:val="left"/>
      <w:pPr>
        <w:tabs>
          <w:tab w:val="left" w:pos="1140"/>
        </w:tabs>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F1E4FC3"/>
    <w:multiLevelType w:val="multilevel"/>
    <w:tmpl w:val="2F1E4FC3"/>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5E8E06E3"/>
    <w:multiLevelType w:val="singleLevel"/>
    <w:tmpl w:val="5E8E06E3"/>
    <w:lvl w:ilvl="0" w:tentative="0">
      <w:start w:val="2"/>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89"/>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1EF5"/>
    <w:rsid w:val="00005298"/>
    <w:rsid w:val="00005F51"/>
    <w:rsid w:val="00010340"/>
    <w:rsid w:val="00011DA9"/>
    <w:rsid w:val="00013E83"/>
    <w:rsid w:val="0001588F"/>
    <w:rsid w:val="00015B11"/>
    <w:rsid w:val="00017FC0"/>
    <w:rsid w:val="0002167C"/>
    <w:rsid w:val="0002300C"/>
    <w:rsid w:val="00024078"/>
    <w:rsid w:val="000253E1"/>
    <w:rsid w:val="00031872"/>
    <w:rsid w:val="00031CC4"/>
    <w:rsid w:val="00032D39"/>
    <w:rsid w:val="00036247"/>
    <w:rsid w:val="00036673"/>
    <w:rsid w:val="000402A1"/>
    <w:rsid w:val="0004226A"/>
    <w:rsid w:val="0004373B"/>
    <w:rsid w:val="00045BCC"/>
    <w:rsid w:val="00047943"/>
    <w:rsid w:val="000500C0"/>
    <w:rsid w:val="00052AA5"/>
    <w:rsid w:val="00052FE4"/>
    <w:rsid w:val="000601BD"/>
    <w:rsid w:val="00075954"/>
    <w:rsid w:val="00080BD5"/>
    <w:rsid w:val="00083404"/>
    <w:rsid w:val="000836AF"/>
    <w:rsid w:val="00083A47"/>
    <w:rsid w:val="00084721"/>
    <w:rsid w:val="0008570C"/>
    <w:rsid w:val="0008669D"/>
    <w:rsid w:val="00092B42"/>
    <w:rsid w:val="0009552F"/>
    <w:rsid w:val="000A304E"/>
    <w:rsid w:val="000C41E5"/>
    <w:rsid w:val="000C7451"/>
    <w:rsid w:val="000C769E"/>
    <w:rsid w:val="000C78FD"/>
    <w:rsid w:val="000D11AB"/>
    <w:rsid w:val="000D1423"/>
    <w:rsid w:val="000E430F"/>
    <w:rsid w:val="000F32CF"/>
    <w:rsid w:val="000F53CA"/>
    <w:rsid w:val="001005F4"/>
    <w:rsid w:val="00102A73"/>
    <w:rsid w:val="00105E39"/>
    <w:rsid w:val="00107EFF"/>
    <w:rsid w:val="001126B0"/>
    <w:rsid w:val="00114BE0"/>
    <w:rsid w:val="00115603"/>
    <w:rsid w:val="00116BF0"/>
    <w:rsid w:val="0011722B"/>
    <w:rsid w:val="00122F80"/>
    <w:rsid w:val="0012533E"/>
    <w:rsid w:val="00133B20"/>
    <w:rsid w:val="00134856"/>
    <w:rsid w:val="00135B1F"/>
    <w:rsid w:val="0013707B"/>
    <w:rsid w:val="001373A7"/>
    <w:rsid w:val="00137EC9"/>
    <w:rsid w:val="001411D4"/>
    <w:rsid w:val="00152900"/>
    <w:rsid w:val="00153DA7"/>
    <w:rsid w:val="0015400F"/>
    <w:rsid w:val="00167261"/>
    <w:rsid w:val="00167A10"/>
    <w:rsid w:val="001725FE"/>
    <w:rsid w:val="00175934"/>
    <w:rsid w:val="00182C85"/>
    <w:rsid w:val="00182CCD"/>
    <w:rsid w:val="001853C9"/>
    <w:rsid w:val="001932B1"/>
    <w:rsid w:val="0019659C"/>
    <w:rsid w:val="001A4B76"/>
    <w:rsid w:val="001A63D1"/>
    <w:rsid w:val="001B25EE"/>
    <w:rsid w:val="001B66EC"/>
    <w:rsid w:val="001B6D87"/>
    <w:rsid w:val="001C1FA2"/>
    <w:rsid w:val="001C3B59"/>
    <w:rsid w:val="001C5215"/>
    <w:rsid w:val="001C566B"/>
    <w:rsid w:val="001C63C2"/>
    <w:rsid w:val="001C658F"/>
    <w:rsid w:val="001C6E95"/>
    <w:rsid w:val="001D0FB9"/>
    <w:rsid w:val="001D1142"/>
    <w:rsid w:val="001D1802"/>
    <w:rsid w:val="001D24D8"/>
    <w:rsid w:val="001D2C08"/>
    <w:rsid w:val="001D3BFB"/>
    <w:rsid w:val="001D5A55"/>
    <w:rsid w:val="001E099D"/>
    <w:rsid w:val="001E2E77"/>
    <w:rsid w:val="001E32B1"/>
    <w:rsid w:val="001E53DD"/>
    <w:rsid w:val="001E6086"/>
    <w:rsid w:val="001E6851"/>
    <w:rsid w:val="001F0AED"/>
    <w:rsid w:val="00200DC9"/>
    <w:rsid w:val="00201659"/>
    <w:rsid w:val="00201883"/>
    <w:rsid w:val="002043CC"/>
    <w:rsid w:val="002045CA"/>
    <w:rsid w:val="002055E3"/>
    <w:rsid w:val="002159F7"/>
    <w:rsid w:val="00216A40"/>
    <w:rsid w:val="00216B98"/>
    <w:rsid w:val="00216BA8"/>
    <w:rsid w:val="00217CEF"/>
    <w:rsid w:val="00222C70"/>
    <w:rsid w:val="00226507"/>
    <w:rsid w:val="00226CC5"/>
    <w:rsid w:val="00227A10"/>
    <w:rsid w:val="002301AD"/>
    <w:rsid w:val="0023314A"/>
    <w:rsid w:val="002405EC"/>
    <w:rsid w:val="00240788"/>
    <w:rsid w:val="00241013"/>
    <w:rsid w:val="00242CF0"/>
    <w:rsid w:val="0024491D"/>
    <w:rsid w:val="00252536"/>
    <w:rsid w:val="002544B2"/>
    <w:rsid w:val="00255F4F"/>
    <w:rsid w:val="00257804"/>
    <w:rsid w:val="00260329"/>
    <w:rsid w:val="0026104C"/>
    <w:rsid w:val="00261750"/>
    <w:rsid w:val="002617F0"/>
    <w:rsid w:val="0026330B"/>
    <w:rsid w:val="00265EEE"/>
    <w:rsid w:val="00270814"/>
    <w:rsid w:val="00271EF6"/>
    <w:rsid w:val="00280A87"/>
    <w:rsid w:val="0028588B"/>
    <w:rsid w:val="00285ED3"/>
    <w:rsid w:val="002864A0"/>
    <w:rsid w:val="0029076B"/>
    <w:rsid w:val="002924B9"/>
    <w:rsid w:val="00293AAF"/>
    <w:rsid w:val="00295412"/>
    <w:rsid w:val="00296639"/>
    <w:rsid w:val="00296D49"/>
    <w:rsid w:val="002A0D0F"/>
    <w:rsid w:val="002A1496"/>
    <w:rsid w:val="002A2286"/>
    <w:rsid w:val="002A26A7"/>
    <w:rsid w:val="002A2AD5"/>
    <w:rsid w:val="002A6065"/>
    <w:rsid w:val="002B31C0"/>
    <w:rsid w:val="002B36C4"/>
    <w:rsid w:val="002B3BBD"/>
    <w:rsid w:val="002B5ED7"/>
    <w:rsid w:val="002C6A33"/>
    <w:rsid w:val="002C7830"/>
    <w:rsid w:val="002D58FF"/>
    <w:rsid w:val="002D6C96"/>
    <w:rsid w:val="002D6F84"/>
    <w:rsid w:val="002E0A2C"/>
    <w:rsid w:val="002E5B5F"/>
    <w:rsid w:val="002E7E3D"/>
    <w:rsid w:val="002F28FB"/>
    <w:rsid w:val="002F2F53"/>
    <w:rsid w:val="002F38AC"/>
    <w:rsid w:val="002F3B05"/>
    <w:rsid w:val="002F4441"/>
    <w:rsid w:val="002F4E9D"/>
    <w:rsid w:val="00300B22"/>
    <w:rsid w:val="00304B48"/>
    <w:rsid w:val="00305482"/>
    <w:rsid w:val="00307C46"/>
    <w:rsid w:val="0031281C"/>
    <w:rsid w:val="00313F7F"/>
    <w:rsid w:val="00322800"/>
    <w:rsid w:val="00323826"/>
    <w:rsid w:val="003252CC"/>
    <w:rsid w:val="00325A15"/>
    <w:rsid w:val="00325C1B"/>
    <w:rsid w:val="00333D95"/>
    <w:rsid w:val="0033412F"/>
    <w:rsid w:val="00335348"/>
    <w:rsid w:val="00351A41"/>
    <w:rsid w:val="00352C5E"/>
    <w:rsid w:val="00354756"/>
    <w:rsid w:val="00356898"/>
    <w:rsid w:val="00362692"/>
    <w:rsid w:val="00364969"/>
    <w:rsid w:val="00373C64"/>
    <w:rsid w:val="00374B13"/>
    <w:rsid w:val="00381037"/>
    <w:rsid w:val="00385AD8"/>
    <w:rsid w:val="00391820"/>
    <w:rsid w:val="003923C5"/>
    <w:rsid w:val="0039384B"/>
    <w:rsid w:val="0039455D"/>
    <w:rsid w:val="00394A6B"/>
    <w:rsid w:val="003A0643"/>
    <w:rsid w:val="003A0833"/>
    <w:rsid w:val="003A1C95"/>
    <w:rsid w:val="003A3355"/>
    <w:rsid w:val="003A55B2"/>
    <w:rsid w:val="003B26D7"/>
    <w:rsid w:val="003C4CCE"/>
    <w:rsid w:val="003D0315"/>
    <w:rsid w:val="003D11FB"/>
    <w:rsid w:val="003D2A0C"/>
    <w:rsid w:val="003E09DA"/>
    <w:rsid w:val="003E1AC0"/>
    <w:rsid w:val="003E2F87"/>
    <w:rsid w:val="003E4D6D"/>
    <w:rsid w:val="003F01CF"/>
    <w:rsid w:val="003F062F"/>
    <w:rsid w:val="003F2E5D"/>
    <w:rsid w:val="003F3596"/>
    <w:rsid w:val="003F49BC"/>
    <w:rsid w:val="003F7868"/>
    <w:rsid w:val="00402852"/>
    <w:rsid w:val="004073CB"/>
    <w:rsid w:val="00411989"/>
    <w:rsid w:val="004134FE"/>
    <w:rsid w:val="00414004"/>
    <w:rsid w:val="00415DEB"/>
    <w:rsid w:val="00416626"/>
    <w:rsid w:val="0041747A"/>
    <w:rsid w:val="00420502"/>
    <w:rsid w:val="004220F1"/>
    <w:rsid w:val="00423253"/>
    <w:rsid w:val="004242A3"/>
    <w:rsid w:val="00425F74"/>
    <w:rsid w:val="00427478"/>
    <w:rsid w:val="00431EEF"/>
    <w:rsid w:val="00432F4D"/>
    <w:rsid w:val="00435EDC"/>
    <w:rsid w:val="00441CAD"/>
    <w:rsid w:val="0044353F"/>
    <w:rsid w:val="00447C5B"/>
    <w:rsid w:val="004549A4"/>
    <w:rsid w:val="00457FAD"/>
    <w:rsid w:val="00466317"/>
    <w:rsid w:val="00466CFB"/>
    <w:rsid w:val="0048019C"/>
    <w:rsid w:val="00484432"/>
    <w:rsid w:val="00486FAA"/>
    <w:rsid w:val="00493FB0"/>
    <w:rsid w:val="004941A2"/>
    <w:rsid w:val="00495259"/>
    <w:rsid w:val="00495E83"/>
    <w:rsid w:val="004960A4"/>
    <w:rsid w:val="004A3F22"/>
    <w:rsid w:val="004A4253"/>
    <w:rsid w:val="004A5758"/>
    <w:rsid w:val="004A7F52"/>
    <w:rsid w:val="004B65F9"/>
    <w:rsid w:val="004B6BE7"/>
    <w:rsid w:val="004C1422"/>
    <w:rsid w:val="004C1A41"/>
    <w:rsid w:val="004C3079"/>
    <w:rsid w:val="004C4226"/>
    <w:rsid w:val="004C70E5"/>
    <w:rsid w:val="004E107C"/>
    <w:rsid w:val="004E36C4"/>
    <w:rsid w:val="004F0D8F"/>
    <w:rsid w:val="004F22BE"/>
    <w:rsid w:val="004F684D"/>
    <w:rsid w:val="004F6925"/>
    <w:rsid w:val="004F7894"/>
    <w:rsid w:val="004F789E"/>
    <w:rsid w:val="00500C1E"/>
    <w:rsid w:val="00501EE3"/>
    <w:rsid w:val="00503C29"/>
    <w:rsid w:val="0050688E"/>
    <w:rsid w:val="005070D0"/>
    <w:rsid w:val="00507304"/>
    <w:rsid w:val="005118B8"/>
    <w:rsid w:val="005134E4"/>
    <w:rsid w:val="00516561"/>
    <w:rsid w:val="0051787C"/>
    <w:rsid w:val="00524087"/>
    <w:rsid w:val="00524C9C"/>
    <w:rsid w:val="005273B9"/>
    <w:rsid w:val="00530F5C"/>
    <w:rsid w:val="00532D9C"/>
    <w:rsid w:val="0053638E"/>
    <w:rsid w:val="00536B44"/>
    <w:rsid w:val="005428B4"/>
    <w:rsid w:val="005432CD"/>
    <w:rsid w:val="005437E4"/>
    <w:rsid w:val="00544B58"/>
    <w:rsid w:val="005538AF"/>
    <w:rsid w:val="0055409A"/>
    <w:rsid w:val="005540AC"/>
    <w:rsid w:val="00555E1E"/>
    <w:rsid w:val="005560EF"/>
    <w:rsid w:val="00556DE2"/>
    <w:rsid w:val="005616EB"/>
    <w:rsid w:val="005633DC"/>
    <w:rsid w:val="00565214"/>
    <w:rsid w:val="005706EF"/>
    <w:rsid w:val="00571C08"/>
    <w:rsid w:val="00572325"/>
    <w:rsid w:val="00572631"/>
    <w:rsid w:val="0057331F"/>
    <w:rsid w:val="005758C6"/>
    <w:rsid w:val="00580C66"/>
    <w:rsid w:val="0058201D"/>
    <w:rsid w:val="00583BB0"/>
    <w:rsid w:val="00583F43"/>
    <w:rsid w:val="00585155"/>
    <w:rsid w:val="0059022F"/>
    <w:rsid w:val="00590E2B"/>
    <w:rsid w:val="00594540"/>
    <w:rsid w:val="00595A23"/>
    <w:rsid w:val="00596748"/>
    <w:rsid w:val="005977C4"/>
    <w:rsid w:val="0059793B"/>
    <w:rsid w:val="005A27C7"/>
    <w:rsid w:val="005A2CAC"/>
    <w:rsid w:val="005A2CE3"/>
    <w:rsid w:val="005A5D6D"/>
    <w:rsid w:val="005B19E7"/>
    <w:rsid w:val="005B4CC8"/>
    <w:rsid w:val="005B5700"/>
    <w:rsid w:val="005B65C1"/>
    <w:rsid w:val="005B66E3"/>
    <w:rsid w:val="005C214B"/>
    <w:rsid w:val="005C6100"/>
    <w:rsid w:val="005C6E7D"/>
    <w:rsid w:val="005D1E07"/>
    <w:rsid w:val="005E06FB"/>
    <w:rsid w:val="005E728D"/>
    <w:rsid w:val="005F38B8"/>
    <w:rsid w:val="005F395A"/>
    <w:rsid w:val="005F45B2"/>
    <w:rsid w:val="00601565"/>
    <w:rsid w:val="00602FEC"/>
    <w:rsid w:val="00604399"/>
    <w:rsid w:val="00605A62"/>
    <w:rsid w:val="0060617D"/>
    <w:rsid w:val="006064D0"/>
    <w:rsid w:val="00611191"/>
    <w:rsid w:val="00612675"/>
    <w:rsid w:val="00613283"/>
    <w:rsid w:val="0061705E"/>
    <w:rsid w:val="006171A5"/>
    <w:rsid w:val="0062105F"/>
    <w:rsid w:val="00621ED5"/>
    <w:rsid w:val="00625211"/>
    <w:rsid w:val="006318AB"/>
    <w:rsid w:val="00632958"/>
    <w:rsid w:val="006333AD"/>
    <w:rsid w:val="00641AE3"/>
    <w:rsid w:val="006424B5"/>
    <w:rsid w:val="00642EAB"/>
    <w:rsid w:val="006438DB"/>
    <w:rsid w:val="006530A7"/>
    <w:rsid w:val="00653CEF"/>
    <w:rsid w:val="00655B2A"/>
    <w:rsid w:val="00655D1C"/>
    <w:rsid w:val="006562B7"/>
    <w:rsid w:val="00662189"/>
    <w:rsid w:val="00671FBA"/>
    <w:rsid w:val="00672AF2"/>
    <w:rsid w:val="00675F48"/>
    <w:rsid w:val="00677A8B"/>
    <w:rsid w:val="00686086"/>
    <w:rsid w:val="00695DF7"/>
    <w:rsid w:val="006960B9"/>
    <w:rsid w:val="006A1B6C"/>
    <w:rsid w:val="006A3657"/>
    <w:rsid w:val="006A7125"/>
    <w:rsid w:val="006B4543"/>
    <w:rsid w:val="006B6A74"/>
    <w:rsid w:val="006B7B3C"/>
    <w:rsid w:val="006C05B0"/>
    <w:rsid w:val="006C0CA8"/>
    <w:rsid w:val="006C0D92"/>
    <w:rsid w:val="006C2406"/>
    <w:rsid w:val="006C3254"/>
    <w:rsid w:val="006D250B"/>
    <w:rsid w:val="006D29CC"/>
    <w:rsid w:val="006D7EC8"/>
    <w:rsid w:val="006E18C6"/>
    <w:rsid w:val="006E2F82"/>
    <w:rsid w:val="006E387E"/>
    <w:rsid w:val="006E535F"/>
    <w:rsid w:val="006F486D"/>
    <w:rsid w:val="006F5830"/>
    <w:rsid w:val="00700CE0"/>
    <w:rsid w:val="007025D1"/>
    <w:rsid w:val="00705B2E"/>
    <w:rsid w:val="007070E5"/>
    <w:rsid w:val="007103F7"/>
    <w:rsid w:val="0071231F"/>
    <w:rsid w:val="007146BA"/>
    <w:rsid w:val="00717FD9"/>
    <w:rsid w:val="007204F5"/>
    <w:rsid w:val="0072132F"/>
    <w:rsid w:val="0072155B"/>
    <w:rsid w:val="00721D51"/>
    <w:rsid w:val="007246C7"/>
    <w:rsid w:val="007328D0"/>
    <w:rsid w:val="00732F0E"/>
    <w:rsid w:val="007333AB"/>
    <w:rsid w:val="00743E83"/>
    <w:rsid w:val="00745210"/>
    <w:rsid w:val="00745A30"/>
    <w:rsid w:val="00746579"/>
    <w:rsid w:val="0075278C"/>
    <w:rsid w:val="007538A1"/>
    <w:rsid w:val="007541B4"/>
    <w:rsid w:val="00755783"/>
    <w:rsid w:val="0076227D"/>
    <w:rsid w:val="00762CF5"/>
    <w:rsid w:val="007750CA"/>
    <w:rsid w:val="007767C5"/>
    <w:rsid w:val="00776DFE"/>
    <w:rsid w:val="007778C6"/>
    <w:rsid w:val="00782591"/>
    <w:rsid w:val="00785B84"/>
    <w:rsid w:val="007872EC"/>
    <w:rsid w:val="007919DC"/>
    <w:rsid w:val="00791FC5"/>
    <w:rsid w:val="00795E24"/>
    <w:rsid w:val="00796C50"/>
    <w:rsid w:val="007A15F3"/>
    <w:rsid w:val="007A1EF5"/>
    <w:rsid w:val="007A44D1"/>
    <w:rsid w:val="007B6F7D"/>
    <w:rsid w:val="007C174D"/>
    <w:rsid w:val="007C2FF9"/>
    <w:rsid w:val="007D0183"/>
    <w:rsid w:val="007D5754"/>
    <w:rsid w:val="007D5A8F"/>
    <w:rsid w:val="007D5EE3"/>
    <w:rsid w:val="007D7AC9"/>
    <w:rsid w:val="007E06DD"/>
    <w:rsid w:val="007E30EE"/>
    <w:rsid w:val="007E3DF1"/>
    <w:rsid w:val="007E4160"/>
    <w:rsid w:val="007F5015"/>
    <w:rsid w:val="007F5D1E"/>
    <w:rsid w:val="00801A4D"/>
    <w:rsid w:val="0080236A"/>
    <w:rsid w:val="008062D6"/>
    <w:rsid w:val="0080646B"/>
    <w:rsid w:val="00806EFC"/>
    <w:rsid w:val="00813872"/>
    <w:rsid w:val="008172C9"/>
    <w:rsid w:val="008172E0"/>
    <w:rsid w:val="00821490"/>
    <w:rsid w:val="00821650"/>
    <w:rsid w:val="008251A2"/>
    <w:rsid w:val="00826771"/>
    <w:rsid w:val="00834B5F"/>
    <w:rsid w:val="008368B9"/>
    <w:rsid w:val="00843602"/>
    <w:rsid w:val="008447A9"/>
    <w:rsid w:val="00850A4F"/>
    <w:rsid w:val="008510D3"/>
    <w:rsid w:val="008521D7"/>
    <w:rsid w:val="00864F1A"/>
    <w:rsid w:val="00870109"/>
    <w:rsid w:val="008713D8"/>
    <w:rsid w:val="00871657"/>
    <w:rsid w:val="00874B92"/>
    <w:rsid w:val="0088373B"/>
    <w:rsid w:val="008838AE"/>
    <w:rsid w:val="00884C4D"/>
    <w:rsid w:val="00886A26"/>
    <w:rsid w:val="008A064F"/>
    <w:rsid w:val="008A3DF3"/>
    <w:rsid w:val="008B1693"/>
    <w:rsid w:val="008B29CC"/>
    <w:rsid w:val="008B355A"/>
    <w:rsid w:val="008B3904"/>
    <w:rsid w:val="008B6211"/>
    <w:rsid w:val="008B6DE1"/>
    <w:rsid w:val="008C545E"/>
    <w:rsid w:val="008C71C2"/>
    <w:rsid w:val="008C7511"/>
    <w:rsid w:val="008C76B7"/>
    <w:rsid w:val="008D282A"/>
    <w:rsid w:val="008D5095"/>
    <w:rsid w:val="008D6C13"/>
    <w:rsid w:val="008F107D"/>
    <w:rsid w:val="008F2097"/>
    <w:rsid w:val="008F2267"/>
    <w:rsid w:val="008F42FA"/>
    <w:rsid w:val="008F59E2"/>
    <w:rsid w:val="008F78D4"/>
    <w:rsid w:val="00900F05"/>
    <w:rsid w:val="00901C8E"/>
    <w:rsid w:val="00904143"/>
    <w:rsid w:val="0090488F"/>
    <w:rsid w:val="00907638"/>
    <w:rsid w:val="009120A1"/>
    <w:rsid w:val="00913047"/>
    <w:rsid w:val="009138D7"/>
    <w:rsid w:val="00915C0A"/>
    <w:rsid w:val="00917753"/>
    <w:rsid w:val="0092116B"/>
    <w:rsid w:val="009228EF"/>
    <w:rsid w:val="009258D1"/>
    <w:rsid w:val="009302C7"/>
    <w:rsid w:val="00932550"/>
    <w:rsid w:val="00934549"/>
    <w:rsid w:val="00935B2F"/>
    <w:rsid w:val="00935BA7"/>
    <w:rsid w:val="009401C7"/>
    <w:rsid w:val="009412C1"/>
    <w:rsid w:val="00942334"/>
    <w:rsid w:val="0094408C"/>
    <w:rsid w:val="0094692A"/>
    <w:rsid w:val="00947D2D"/>
    <w:rsid w:val="00951F3E"/>
    <w:rsid w:val="00952949"/>
    <w:rsid w:val="009649C7"/>
    <w:rsid w:val="0096594A"/>
    <w:rsid w:val="00970E75"/>
    <w:rsid w:val="009713BB"/>
    <w:rsid w:val="00973E6A"/>
    <w:rsid w:val="009773B9"/>
    <w:rsid w:val="009811C4"/>
    <w:rsid w:val="00985677"/>
    <w:rsid w:val="0098580E"/>
    <w:rsid w:val="00985C87"/>
    <w:rsid w:val="00986BBE"/>
    <w:rsid w:val="0099143A"/>
    <w:rsid w:val="00996324"/>
    <w:rsid w:val="009A08ED"/>
    <w:rsid w:val="009A1551"/>
    <w:rsid w:val="009A5E46"/>
    <w:rsid w:val="009B379D"/>
    <w:rsid w:val="009B5FC5"/>
    <w:rsid w:val="009B783F"/>
    <w:rsid w:val="009C2E28"/>
    <w:rsid w:val="009C6116"/>
    <w:rsid w:val="009E2E81"/>
    <w:rsid w:val="009E3AE1"/>
    <w:rsid w:val="009E6836"/>
    <w:rsid w:val="009F4F10"/>
    <w:rsid w:val="009F6B53"/>
    <w:rsid w:val="00A01394"/>
    <w:rsid w:val="00A04571"/>
    <w:rsid w:val="00A07104"/>
    <w:rsid w:val="00A12108"/>
    <w:rsid w:val="00A16B8B"/>
    <w:rsid w:val="00A204F1"/>
    <w:rsid w:val="00A25181"/>
    <w:rsid w:val="00A31549"/>
    <w:rsid w:val="00A31609"/>
    <w:rsid w:val="00A317B7"/>
    <w:rsid w:val="00A31DB6"/>
    <w:rsid w:val="00A32BA4"/>
    <w:rsid w:val="00A3374C"/>
    <w:rsid w:val="00A33F71"/>
    <w:rsid w:val="00A36B18"/>
    <w:rsid w:val="00A4064D"/>
    <w:rsid w:val="00A42A69"/>
    <w:rsid w:val="00A524D2"/>
    <w:rsid w:val="00A5312E"/>
    <w:rsid w:val="00A55A3D"/>
    <w:rsid w:val="00A56E66"/>
    <w:rsid w:val="00A60B90"/>
    <w:rsid w:val="00A60F0D"/>
    <w:rsid w:val="00A6462B"/>
    <w:rsid w:val="00A6719E"/>
    <w:rsid w:val="00A70087"/>
    <w:rsid w:val="00A72E27"/>
    <w:rsid w:val="00A72ECE"/>
    <w:rsid w:val="00A770F1"/>
    <w:rsid w:val="00A85E21"/>
    <w:rsid w:val="00A85FFF"/>
    <w:rsid w:val="00A92096"/>
    <w:rsid w:val="00AA20E6"/>
    <w:rsid w:val="00AA4BFA"/>
    <w:rsid w:val="00AA4D96"/>
    <w:rsid w:val="00AA723C"/>
    <w:rsid w:val="00AB07C3"/>
    <w:rsid w:val="00AB486C"/>
    <w:rsid w:val="00AB4A8E"/>
    <w:rsid w:val="00AC16ED"/>
    <w:rsid w:val="00AD646C"/>
    <w:rsid w:val="00AE05E2"/>
    <w:rsid w:val="00AE0C6D"/>
    <w:rsid w:val="00AE2569"/>
    <w:rsid w:val="00AE3ADA"/>
    <w:rsid w:val="00AE442C"/>
    <w:rsid w:val="00AE541D"/>
    <w:rsid w:val="00AE6012"/>
    <w:rsid w:val="00AE6B42"/>
    <w:rsid w:val="00AF6D19"/>
    <w:rsid w:val="00B01BDB"/>
    <w:rsid w:val="00B02177"/>
    <w:rsid w:val="00B03245"/>
    <w:rsid w:val="00B0344E"/>
    <w:rsid w:val="00B10BC8"/>
    <w:rsid w:val="00B118B4"/>
    <w:rsid w:val="00B11993"/>
    <w:rsid w:val="00B119E4"/>
    <w:rsid w:val="00B138DE"/>
    <w:rsid w:val="00B1627F"/>
    <w:rsid w:val="00B26880"/>
    <w:rsid w:val="00B31BD3"/>
    <w:rsid w:val="00B327EC"/>
    <w:rsid w:val="00B33766"/>
    <w:rsid w:val="00B33FB8"/>
    <w:rsid w:val="00B348CC"/>
    <w:rsid w:val="00B34B5C"/>
    <w:rsid w:val="00B35198"/>
    <w:rsid w:val="00B3546C"/>
    <w:rsid w:val="00B36242"/>
    <w:rsid w:val="00B36CA7"/>
    <w:rsid w:val="00B37BD1"/>
    <w:rsid w:val="00B37C7B"/>
    <w:rsid w:val="00B44E87"/>
    <w:rsid w:val="00B538D3"/>
    <w:rsid w:val="00B57CC5"/>
    <w:rsid w:val="00B60402"/>
    <w:rsid w:val="00B614E0"/>
    <w:rsid w:val="00B62A8A"/>
    <w:rsid w:val="00B6472A"/>
    <w:rsid w:val="00B65E9B"/>
    <w:rsid w:val="00B67CB2"/>
    <w:rsid w:val="00B7041F"/>
    <w:rsid w:val="00B7595B"/>
    <w:rsid w:val="00B761AC"/>
    <w:rsid w:val="00B764E3"/>
    <w:rsid w:val="00B80E94"/>
    <w:rsid w:val="00B82192"/>
    <w:rsid w:val="00B86084"/>
    <w:rsid w:val="00B902D1"/>
    <w:rsid w:val="00B91022"/>
    <w:rsid w:val="00B943AE"/>
    <w:rsid w:val="00BA0A29"/>
    <w:rsid w:val="00BA10A4"/>
    <w:rsid w:val="00BA4139"/>
    <w:rsid w:val="00BA49B5"/>
    <w:rsid w:val="00BB3E82"/>
    <w:rsid w:val="00BB42D0"/>
    <w:rsid w:val="00BC3407"/>
    <w:rsid w:val="00BC6763"/>
    <w:rsid w:val="00BC7D63"/>
    <w:rsid w:val="00BD3961"/>
    <w:rsid w:val="00BD42ED"/>
    <w:rsid w:val="00BD54D6"/>
    <w:rsid w:val="00BE19F8"/>
    <w:rsid w:val="00BE490E"/>
    <w:rsid w:val="00BE68A7"/>
    <w:rsid w:val="00BE68B9"/>
    <w:rsid w:val="00BE73FB"/>
    <w:rsid w:val="00BF0006"/>
    <w:rsid w:val="00C01958"/>
    <w:rsid w:val="00C034E7"/>
    <w:rsid w:val="00C06830"/>
    <w:rsid w:val="00C16A93"/>
    <w:rsid w:val="00C16B06"/>
    <w:rsid w:val="00C17384"/>
    <w:rsid w:val="00C21384"/>
    <w:rsid w:val="00C21553"/>
    <w:rsid w:val="00C304E3"/>
    <w:rsid w:val="00C32A12"/>
    <w:rsid w:val="00C357E9"/>
    <w:rsid w:val="00C3660C"/>
    <w:rsid w:val="00C37DB8"/>
    <w:rsid w:val="00C40D87"/>
    <w:rsid w:val="00C411EB"/>
    <w:rsid w:val="00C4372C"/>
    <w:rsid w:val="00C449F9"/>
    <w:rsid w:val="00C472ED"/>
    <w:rsid w:val="00C47A25"/>
    <w:rsid w:val="00C47F1A"/>
    <w:rsid w:val="00C60316"/>
    <w:rsid w:val="00C61E4D"/>
    <w:rsid w:val="00C624D8"/>
    <w:rsid w:val="00C67AA3"/>
    <w:rsid w:val="00C739C2"/>
    <w:rsid w:val="00C73D53"/>
    <w:rsid w:val="00C82938"/>
    <w:rsid w:val="00C839F8"/>
    <w:rsid w:val="00C84808"/>
    <w:rsid w:val="00C85692"/>
    <w:rsid w:val="00C86B84"/>
    <w:rsid w:val="00C93846"/>
    <w:rsid w:val="00C94786"/>
    <w:rsid w:val="00C95D3C"/>
    <w:rsid w:val="00C9679F"/>
    <w:rsid w:val="00CA01B5"/>
    <w:rsid w:val="00CA0A2F"/>
    <w:rsid w:val="00CA3F1D"/>
    <w:rsid w:val="00CA465F"/>
    <w:rsid w:val="00CA60E9"/>
    <w:rsid w:val="00CB0DD5"/>
    <w:rsid w:val="00CB152D"/>
    <w:rsid w:val="00CB5DBE"/>
    <w:rsid w:val="00CC185C"/>
    <w:rsid w:val="00CC5D70"/>
    <w:rsid w:val="00CC73E3"/>
    <w:rsid w:val="00CC7776"/>
    <w:rsid w:val="00CD1DF4"/>
    <w:rsid w:val="00CD1F69"/>
    <w:rsid w:val="00CE1837"/>
    <w:rsid w:val="00CE2032"/>
    <w:rsid w:val="00CE22BE"/>
    <w:rsid w:val="00CF213E"/>
    <w:rsid w:val="00CF39A8"/>
    <w:rsid w:val="00CF5A32"/>
    <w:rsid w:val="00D006D0"/>
    <w:rsid w:val="00D01C85"/>
    <w:rsid w:val="00D028A1"/>
    <w:rsid w:val="00D037C0"/>
    <w:rsid w:val="00D104B8"/>
    <w:rsid w:val="00D156B2"/>
    <w:rsid w:val="00D235E7"/>
    <w:rsid w:val="00D31BCC"/>
    <w:rsid w:val="00D32A5B"/>
    <w:rsid w:val="00D3424F"/>
    <w:rsid w:val="00D377E3"/>
    <w:rsid w:val="00D37A1A"/>
    <w:rsid w:val="00D42F0C"/>
    <w:rsid w:val="00D4474C"/>
    <w:rsid w:val="00D51B4D"/>
    <w:rsid w:val="00D539F6"/>
    <w:rsid w:val="00D55930"/>
    <w:rsid w:val="00D6043A"/>
    <w:rsid w:val="00D632A9"/>
    <w:rsid w:val="00D64C88"/>
    <w:rsid w:val="00D65188"/>
    <w:rsid w:val="00D72221"/>
    <w:rsid w:val="00D732D7"/>
    <w:rsid w:val="00D761F7"/>
    <w:rsid w:val="00D77303"/>
    <w:rsid w:val="00D85128"/>
    <w:rsid w:val="00D936E6"/>
    <w:rsid w:val="00DA106F"/>
    <w:rsid w:val="00DA21C9"/>
    <w:rsid w:val="00DA3E32"/>
    <w:rsid w:val="00DA7B9D"/>
    <w:rsid w:val="00DB08D3"/>
    <w:rsid w:val="00DB1909"/>
    <w:rsid w:val="00DB24BD"/>
    <w:rsid w:val="00DB6427"/>
    <w:rsid w:val="00DB6DCB"/>
    <w:rsid w:val="00DD051D"/>
    <w:rsid w:val="00DD40E4"/>
    <w:rsid w:val="00DE13A8"/>
    <w:rsid w:val="00DE1495"/>
    <w:rsid w:val="00DE2D4F"/>
    <w:rsid w:val="00DE405F"/>
    <w:rsid w:val="00DE7B5C"/>
    <w:rsid w:val="00DF0EE7"/>
    <w:rsid w:val="00DF1E46"/>
    <w:rsid w:val="00DF2335"/>
    <w:rsid w:val="00DF3892"/>
    <w:rsid w:val="00DF5BDE"/>
    <w:rsid w:val="00E06C0D"/>
    <w:rsid w:val="00E06DF0"/>
    <w:rsid w:val="00E112C8"/>
    <w:rsid w:val="00E114D6"/>
    <w:rsid w:val="00E17C31"/>
    <w:rsid w:val="00E22AC6"/>
    <w:rsid w:val="00E235F6"/>
    <w:rsid w:val="00E23D93"/>
    <w:rsid w:val="00E3132A"/>
    <w:rsid w:val="00E332F6"/>
    <w:rsid w:val="00E3499B"/>
    <w:rsid w:val="00E37932"/>
    <w:rsid w:val="00E413A5"/>
    <w:rsid w:val="00E42A49"/>
    <w:rsid w:val="00E456CA"/>
    <w:rsid w:val="00E46E7D"/>
    <w:rsid w:val="00E5026B"/>
    <w:rsid w:val="00E51231"/>
    <w:rsid w:val="00E53985"/>
    <w:rsid w:val="00E55024"/>
    <w:rsid w:val="00E57310"/>
    <w:rsid w:val="00E6193B"/>
    <w:rsid w:val="00E61C13"/>
    <w:rsid w:val="00E721D8"/>
    <w:rsid w:val="00E7551A"/>
    <w:rsid w:val="00E758D6"/>
    <w:rsid w:val="00E75B8C"/>
    <w:rsid w:val="00E769AD"/>
    <w:rsid w:val="00E76D16"/>
    <w:rsid w:val="00E81A57"/>
    <w:rsid w:val="00E81A79"/>
    <w:rsid w:val="00E83B72"/>
    <w:rsid w:val="00E85544"/>
    <w:rsid w:val="00E86F2B"/>
    <w:rsid w:val="00E90730"/>
    <w:rsid w:val="00E91E59"/>
    <w:rsid w:val="00E95EFA"/>
    <w:rsid w:val="00E97D65"/>
    <w:rsid w:val="00EA32C6"/>
    <w:rsid w:val="00EA52E8"/>
    <w:rsid w:val="00EB0BB3"/>
    <w:rsid w:val="00EB2E42"/>
    <w:rsid w:val="00EC29F8"/>
    <w:rsid w:val="00EC5597"/>
    <w:rsid w:val="00EC6CA4"/>
    <w:rsid w:val="00EC724C"/>
    <w:rsid w:val="00ED0B16"/>
    <w:rsid w:val="00ED148E"/>
    <w:rsid w:val="00ED192E"/>
    <w:rsid w:val="00EE0B95"/>
    <w:rsid w:val="00EE4F92"/>
    <w:rsid w:val="00EE7D26"/>
    <w:rsid w:val="00EF57CE"/>
    <w:rsid w:val="00EF5CD3"/>
    <w:rsid w:val="00F004C8"/>
    <w:rsid w:val="00F03836"/>
    <w:rsid w:val="00F04B65"/>
    <w:rsid w:val="00F06F8B"/>
    <w:rsid w:val="00F15E9D"/>
    <w:rsid w:val="00F21102"/>
    <w:rsid w:val="00F21ACC"/>
    <w:rsid w:val="00F24916"/>
    <w:rsid w:val="00F25A40"/>
    <w:rsid w:val="00F31037"/>
    <w:rsid w:val="00F31748"/>
    <w:rsid w:val="00F338E0"/>
    <w:rsid w:val="00F36924"/>
    <w:rsid w:val="00F40479"/>
    <w:rsid w:val="00F43FC7"/>
    <w:rsid w:val="00F50DD9"/>
    <w:rsid w:val="00F52338"/>
    <w:rsid w:val="00F5660A"/>
    <w:rsid w:val="00F6361D"/>
    <w:rsid w:val="00F63A6B"/>
    <w:rsid w:val="00F646F5"/>
    <w:rsid w:val="00F64D36"/>
    <w:rsid w:val="00F66DD0"/>
    <w:rsid w:val="00F70DE0"/>
    <w:rsid w:val="00F716ED"/>
    <w:rsid w:val="00F732A7"/>
    <w:rsid w:val="00F752DB"/>
    <w:rsid w:val="00F7562F"/>
    <w:rsid w:val="00F8027F"/>
    <w:rsid w:val="00F8108B"/>
    <w:rsid w:val="00F8175B"/>
    <w:rsid w:val="00F81C0D"/>
    <w:rsid w:val="00F90AB4"/>
    <w:rsid w:val="00F91CB0"/>
    <w:rsid w:val="00F94C32"/>
    <w:rsid w:val="00FA544A"/>
    <w:rsid w:val="00FA5508"/>
    <w:rsid w:val="00FA5876"/>
    <w:rsid w:val="00FB526A"/>
    <w:rsid w:val="00FB56FB"/>
    <w:rsid w:val="00FC22EC"/>
    <w:rsid w:val="00FC2535"/>
    <w:rsid w:val="00FC4AAF"/>
    <w:rsid w:val="00FD2B69"/>
    <w:rsid w:val="00FD3175"/>
    <w:rsid w:val="00FD427F"/>
    <w:rsid w:val="00FD42EE"/>
    <w:rsid w:val="00FD43C4"/>
    <w:rsid w:val="00FD4425"/>
    <w:rsid w:val="00FE2F5E"/>
    <w:rsid w:val="00FE3408"/>
    <w:rsid w:val="00FE7B0B"/>
    <w:rsid w:val="00FF2B1D"/>
    <w:rsid w:val="00FF4B6B"/>
    <w:rsid w:val="00FF5151"/>
    <w:rsid w:val="00FF6D10"/>
    <w:rsid w:val="00FF72EA"/>
    <w:rsid w:val="00FF72EB"/>
    <w:rsid w:val="00FF79DB"/>
    <w:rsid w:val="00FF7F5E"/>
    <w:rsid w:val="010178DB"/>
    <w:rsid w:val="0121079C"/>
    <w:rsid w:val="01322EFC"/>
    <w:rsid w:val="014053BC"/>
    <w:rsid w:val="01767EF3"/>
    <w:rsid w:val="01D30AF5"/>
    <w:rsid w:val="01DC24B9"/>
    <w:rsid w:val="01DE5185"/>
    <w:rsid w:val="0213568A"/>
    <w:rsid w:val="04A80842"/>
    <w:rsid w:val="04D7648A"/>
    <w:rsid w:val="04FA14E6"/>
    <w:rsid w:val="0531362C"/>
    <w:rsid w:val="054D6974"/>
    <w:rsid w:val="057207F6"/>
    <w:rsid w:val="05FC6B91"/>
    <w:rsid w:val="07732DB2"/>
    <w:rsid w:val="07B8320C"/>
    <w:rsid w:val="07CF0ACE"/>
    <w:rsid w:val="07D13112"/>
    <w:rsid w:val="09285CF7"/>
    <w:rsid w:val="09687692"/>
    <w:rsid w:val="0A031FF0"/>
    <w:rsid w:val="0AA13162"/>
    <w:rsid w:val="0AB6258A"/>
    <w:rsid w:val="0B452B9B"/>
    <w:rsid w:val="0B5770DF"/>
    <w:rsid w:val="0C1A62B1"/>
    <w:rsid w:val="0C372CCD"/>
    <w:rsid w:val="0C3E34F8"/>
    <w:rsid w:val="0C5603A3"/>
    <w:rsid w:val="0C5C2346"/>
    <w:rsid w:val="0C5E5BB8"/>
    <w:rsid w:val="0C8D0956"/>
    <w:rsid w:val="0C94782E"/>
    <w:rsid w:val="0D3565D1"/>
    <w:rsid w:val="0E215C17"/>
    <w:rsid w:val="0E9603EA"/>
    <w:rsid w:val="0FDB5BF8"/>
    <w:rsid w:val="0FF0756D"/>
    <w:rsid w:val="10BB60F9"/>
    <w:rsid w:val="10CB03AE"/>
    <w:rsid w:val="110A33B6"/>
    <w:rsid w:val="11973802"/>
    <w:rsid w:val="11EC5E17"/>
    <w:rsid w:val="121432F4"/>
    <w:rsid w:val="12DD2EED"/>
    <w:rsid w:val="1301505A"/>
    <w:rsid w:val="130D7A12"/>
    <w:rsid w:val="13545A8B"/>
    <w:rsid w:val="13840F17"/>
    <w:rsid w:val="13970AF5"/>
    <w:rsid w:val="13992498"/>
    <w:rsid w:val="13B25960"/>
    <w:rsid w:val="140F5863"/>
    <w:rsid w:val="15C21802"/>
    <w:rsid w:val="15D233F0"/>
    <w:rsid w:val="16320B1F"/>
    <w:rsid w:val="16A8700F"/>
    <w:rsid w:val="16C016B3"/>
    <w:rsid w:val="16D00C09"/>
    <w:rsid w:val="172939D1"/>
    <w:rsid w:val="17596B0C"/>
    <w:rsid w:val="17AC41D5"/>
    <w:rsid w:val="18A962E7"/>
    <w:rsid w:val="18B20DA1"/>
    <w:rsid w:val="197C450A"/>
    <w:rsid w:val="19931B20"/>
    <w:rsid w:val="1A154751"/>
    <w:rsid w:val="1A217D97"/>
    <w:rsid w:val="1A580152"/>
    <w:rsid w:val="1AB60AB7"/>
    <w:rsid w:val="1B733CDF"/>
    <w:rsid w:val="1BC70618"/>
    <w:rsid w:val="1BDC6183"/>
    <w:rsid w:val="1C0C72BC"/>
    <w:rsid w:val="1C146FC9"/>
    <w:rsid w:val="1C213878"/>
    <w:rsid w:val="1C6311B2"/>
    <w:rsid w:val="1CBE541D"/>
    <w:rsid w:val="1CDB04F6"/>
    <w:rsid w:val="1D1D0E35"/>
    <w:rsid w:val="1D250BA1"/>
    <w:rsid w:val="1DD93DB9"/>
    <w:rsid w:val="1DF3347B"/>
    <w:rsid w:val="1E5E3775"/>
    <w:rsid w:val="1E7F1AFF"/>
    <w:rsid w:val="1E8F1162"/>
    <w:rsid w:val="1ED06E8B"/>
    <w:rsid w:val="1EFF09E6"/>
    <w:rsid w:val="1F3A466A"/>
    <w:rsid w:val="1F8C23DA"/>
    <w:rsid w:val="1FA13095"/>
    <w:rsid w:val="1FE040BC"/>
    <w:rsid w:val="20152CE5"/>
    <w:rsid w:val="204801C9"/>
    <w:rsid w:val="21916F90"/>
    <w:rsid w:val="21A95488"/>
    <w:rsid w:val="22314524"/>
    <w:rsid w:val="228C71CA"/>
    <w:rsid w:val="22DE11E6"/>
    <w:rsid w:val="249C6AFD"/>
    <w:rsid w:val="24C64B9D"/>
    <w:rsid w:val="254E2C71"/>
    <w:rsid w:val="25951B90"/>
    <w:rsid w:val="25D450BA"/>
    <w:rsid w:val="26E116DC"/>
    <w:rsid w:val="2764537F"/>
    <w:rsid w:val="277B4CFD"/>
    <w:rsid w:val="28752B19"/>
    <w:rsid w:val="2876124D"/>
    <w:rsid w:val="28AA01F1"/>
    <w:rsid w:val="2A377783"/>
    <w:rsid w:val="2A6266E9"/>
    <w:rsid w:val="2A6C54A9"/>
    <w:rsid w:val="2BB45953"/>
    <w:rsid w:val="2D1347F5"/>
    <w:rsid w:val="2D21664A"/>
    <w:rsid w:val="2D8B5BEE"/>
    <w:rsid w:val="2D943172"/>
    <w:rsid w:val="2E291DF3"/>
    <w:rsid w:val="2E433C51"/>
    <w:rsid w:val="2F203705"/>
    <w:rsid w:val="2F34651F"/>
    <w:rsid w:val="2F425E94"/>
    <w:rsid w:val="2FB81F38"/>
    <w:rsid w:val="2FFE2912"/>
    <w:rsid w:val="30BC2EBC"/>
    <w:rsid w:val="31073B5C"/>
    <w:rsid w:val="31FF72AF"/>
    <w:rsid w:val="32781A64"/>
    <w:rsid w:val="32782FFB"/>
    <w:rsid w:val="32B86F81"/>
    <w:rsid w:val="33CC15C4"/>
    <w:rsid w:val="33FA3136"/>
    <w:rsid w:val="353577A9"/>
    <w:rsid w:val="357B0EFD"/>
    <w:rsid w:val="35CA2DB9"/>
    <w:rsid w:val="35F41D4F"/>
    <w:rsid w:val="361E7E3B"/>
    <w:rsid w:val="3621266D"/>
    <w:rsid w:val="364A72A3"/>
    <w:rsid w:val="36974B68"/>
    <w:rsid w:val="375C2773"/>
    <w:rsid w:val="384C47A3"/>
    <w:rsid w:val="39031BEB"/>
    <w:rsid w:val="39072F88"/>
    <w:rsid w:val="394D7D0F"/>
    <w:rsid w:val="399E4DCC"/>
    <w:rsid w:val="3A89537D"/>
    <w:rsid w:val="3B3F2D85"/>
    <w:rsid w:val="3B5330E7"/>
    <w:rsid w:val="3BA50E74"/>
    <w:rsid w:val="3BD85452"/>
    <w:rsid w:val="3BF6596E"/>
    <w:rsid w:val="3C125C3B"/>
    <w:rsid w:val="3CC86BE5"/>
    <w:rsid w:val="3CED6006"/>
    <w:rsid w:val="3D132062"/>
    <w:rsid w:val="3D83213E"/>
    <w:rsid w:val="3DDB4F84"/>
    <w:rsid w:val="3F033133"/>
    <w:rsid w:val="3F07560F"/>
    <w:rsid w:val="3F6D6B69"/>
    <w:rsid w:val="3FD3744D"/>
    <w:rsid w:val="3FEF7ADA"/>
    <w:rsid w:val="40A83A07"/>
    <w:rsid w:val="413B52EC"/>
    <w:rsid w:val="416F41D1"/>
    <w:rsid w:val="41BA0644"/>
    <w:rsid w:val="41F05DAA"/>
    <w:rsid w:val="428A76BF"/>
    <w:rsid w:val="4388454E"/>
    <w:rsid w:val="438A277C"/>
    <w:rsid w:val="44E17C83"/>
    <w:rsid w:val="45C85E8B"/>
    <w:rsid w:val="46FD5BE1"/>
    <w:rsid w:val="478E1DDE"/>
    <w:rsid w:val="47E56E6A"/>
    <w:rsid w:val="481923FF"/>
    <w:rsid w:val="48694D5A"/>
    <w:rsid w:val="48C25CA3"/>
    <w:rsid w:val="48E21409"/>
    <w:rsid w:val="490579E7"/>
    <w:rsid w:val="493A417A"/>
    <w:rsid w:val="494F2FD1"/>
    <w:rsid w:val="497146B0"/>
    <w:rsid w:val="49E213FD"/>
    <w:rsid w:val="4A490D8F"/>
    <w:rsid w:val="4AB26D7B"/>
    <w:rsid w:val="4AB9636A"/>
    <w:rsid w:val="4B315FE3"/>
    <w:rsid w:val="4B693D86"/>
    <w:rsid w:val="4B8F40E0"/>
    <w:rsid w:val="4BC36005"/>
    <w:rsid w:val="4CA37BED"/>
    <w:rsid w:val="4D6B4742"/>
    <w:rsid w:val="4DE74B53"/>
    <w:rsid w:val="4E873EC5"/>
    <w:rsid w:val="4EEB4DAE"/>
    <w:rsid w:val="4F0F2B66"/>
    <w:rsid w:val="4F296C73"/>
    <w:rsid w:val="4F747F89"/>
    <w:rsid w:val="4FC85BCB"/>
    <w:rsid w:val="50331FAE"/>
    <w:rsid w:val="505A3052"/>
    <w:rsid w:val="506247ED"/>
    <w:rsid w:val="50BB1BCE"/>
    <w:rsid w:val="51044E66"/>
    <w:rsid w:val="5128622E"/>
    <w:rsid w:val="514725A2"/>
    <w:rsid w:val="51541FB9"/>
    <w:rsid w:val="51653541"/>
    <w:rsid w:val="51BA3918"/>
    <w:rsid w:val="52FB6FDA"/>
    <w:rsid w:val="533150FC"/>
    <w:rsid w:val="535459AE"/>
    <w:rsid w:val="53B23A34"/>
    <w:rsid w:val="545053BB"/>
    <w:rsid w:val="55794964"/>
    <w:rsid w:val="55A22FA6"/>
    <w:rsid w:val="55AE397F"/>
    <w:rsid w:val="55D026AD"/>
    <w:rsid w:val="56214ACF"/>
    <w:rsid w:val="56403B5B"/>
    <w:rsid w:val="567505FD"/>
    <w:rsid w:val="56820A81"/>
    <w:rsid w:val="56AA68E1"/>
    <w:rsid w:val="56D26193"/>
    <w:rsid w:val="57B233A0"/>
    <w:rsid w:val="586B2478"/>
    <w:rsid w:val="58865E64"/>
    <w:rsid w:val="58C255AE"/>
    <w:rsid w:val="58DE6711"/>
    <w:rsid w:val="5A4D3BF6"/>
    <w:rsid w:val="5B512E4A"/>
    <w:rsid w:val="5B6B290C"/>
    <w:rsid w:val="5BC70423"/>
    <w:rsid w:val="5BE55FB8"/>
    <w:rsid w:val="5BFD4EC8"/>
    <w:rsid w:val="5C55335F"/>
    <w:rsid w:val="5C914C90"/>
    <w:rsid w:val="5CDD77D2"/>
    <w:rsid w:val="5D514298"/>
    <w:rsid w:val="5D622F2D"/>
    <w:rsid w:val="5E114E4D"/>
    <w:rsid w:val="5E954ECC"/>
    <w:rsid w:val="5F2430A4"/>
    <w:rsid w:val="5F323616"/>
    <w:rsid w:val="5F762EF1"/>
    <w:rsid w:val="5FA72226"/>
    <w:rsid w:val="5FC6029B"/>
    <w:rsid w:val="5FF81F45"/>
    <w:rsid w:val="60003EDC"/>
    <w:rsid w:val="60405D44"/>
    <w:rsid w:val="604959AE"/>
    <w:rsid w:val="60E216EA"/>
    <w:rsid w:val="610D2545"/>
    <w:rsid w:val="613269C6"/>
    <w:rsid w:val="61371FA3"/>
    <w:rsid w:val="61C15C3A"/>
    <w:rsid w:val="62001EE2"/>
    <w:rsid w:val="620C6CE6"/>
    <w:rsid w:val="62867A17"/>
    <w:rsid w:val="632640B2"/>
    <w:rsid w:val="64477A04"/>
    <w:rsid w:val="64714C1E"/>
    <w:rsid w:val="64893CF5"/>
    <w:rsid w:val="64C212AC"/>
    <w:rsid w:val="65BB756F"/>
    <w:rsid w:val="66027D44"/>
    <w:rsid w:val="66420C8D"/>
    <w:rsid w:val="67434ACE"/>
    <w:rsid w:val="675160F0"/>
    <w:rsid w:val="67873AE3"/>
    <w:rsid w:val="679E29E3"/>
    <w:rsid w:val="67B313A0"/>
    <w:rsid w:val="67C46DBD"/>
    <w:rsid w:val="68043A23"/>
    <w:rsid w:val="68087A20"/>
    <w:rsid w:val="68124293"/>
    <w:rsid w:val="6849284A"/>
    <w:rsid w:val="68A37534"/>
    <w:rsid w:val="68EB6BC6"/>
    <w:rsid w:val="69006315"/>
    <w:rsid w:val="69B2578A"/>
    <w:rsid w:val="6A5326E7"/>
    <w:rsid w:val="6A7800D0"/>
    <w:rsid w:val="6A9476A7"/>
    <w:rsid w:val="6B740773"/>
    <w:rsid w:val="6BA96793"/>
    <w:rsid w:val="6BE47E9D"/>
    <w:rsid w:val="6C2D715B"/>
    <w:rsid w:val="6CCC2F03"/>
    <w:rsid w:val="6D7C1A08"/>
    <w:rsid w:val="6D7E3DB9"/>
    <w:rsid w:val="6EBC525F"/>
    <w:rsid w:val="6EED19D9"/>
    <w:rsid w:val="6EEE2197"/>
    <w:rsid w:val="6EEF7E4F"/>
    <w:rsid w:val="6F2D12A0"/>
    <w:rsid w:val="70F03E4F"/>
    <w:rsid w:val="72B43200"/>
    <w:rsid w:val="72BB566D"/>
    <w:rsid w:val="72FE0135"/>
    <w:rsid w:val="73021E25"/>
    <w:rsid w:val="733B0CC7"/>
    <w:rsid w:val="73B645B3"/>
    <w:rsid w:val="74802BBE"/>
    <w:rsid w:val="75017925"/>
    <w:rsid w:val="7578797C"/>
    <w:rsid w:val="75BF5C57"/>
    <w:rsid w:val="76287E23"/>
    <w:rsid w:val="76437394"/>
    <w:rsid w:val="7801310F"/>
    <w:rsid w:val="79A732D1"/>
    <w:rsid w:val="79BA4A36"/>
    <w:rsid w:val="7AD6416D"/>
    <w:rsid w:val="7B031093"/>
    <w:rsid w:val="7BCD7517"/>
    <w:rsid w:val="7BD503F6"/>
    <w:rsid w:val="7BE03058"/>
    <w:rsid w:val="7C0039D3"/>
    <w:rsid w:val="7C6C6D2C"/>
    <w:rsid w:val="7C7163B3"/>
    <w:rsid w:val="7D45640A"/>
    <w:rsid w:val="7DDD641C"/>
    <w:rsid w:val="7DE6504F"/>
    <w:rsid w:val="7DEC76CD"/>
    <w:rsid w:val="7F3E3C42"/>
    <w:rsid w:val="7F751639"/>
    <w:rsid w:val="7FE956A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等线"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39"/>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26"/>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24"/>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18"/>
    <w:qFormat/>
    <w:uiPriority w:val="0"/>
    <w:pPr>
      <w:spacing w:before="240" w:after="240"/>
      <w:outlineLvl w:val="2"/>
    </w:pPr>
    <w:rPr>
      <w:b/>
      <w:sz w:val="24"/>
    </w:rPr>
  </w:style>
  <w:style w:type="character" w:default="1" w:styleId="15">
    <w:name w:val="Default Paragraph Font"/>
    <w:unhideWhenUsed/>
    <w:qFormat/>
    <w:uiPriority w:val="1"/>
  </w:style>
  <w:style w:type="table" w:default="1" w:styleId="13">
    <w:name w:val="Normal Table"/>
    <w:unhideWhenUsed/>
    <w:qFormat/>
    <w:uiPriority w:val="99"/>
    <w:tblPr>
      <w:tblCellMar>
        <w:top w:w="0" w:type="dxa"/>
        <w:left w:w="108" w:type="dxa"/>
        <w:bottom w:w="0" w:type="dxa"/>
        <w:right w:w="108" w:type="dxa"/>
      </w:tblCellMar>
    </w:tblPr>
  </w:style>
  <w:style w:type="paragraph" w:customStyle="1" w:styleId="2">
    <w:name w:val="BodyText"/>
    <w:basedOn w:val="1"/>
    <w:qFormat/>
    <w:uiPriority w:val="0"/>
    <w:pPr>
      <w:jc w:val="center"/>
      <w:textAlignment w:val="baseline"/>
    </w:pPr>
    <w:rPr>
      <w:rFonts w:ascii="宋体" w:hAnsi="宋体"/>
      <w:color w:val="FF0000"/>
      <w:kern w:val="2"/>
      <w:sz w:val="21"/>
      <w:szCs w:val="24"/>
      <w:lang w:val="en-US" w:eastAsia="zh-CN" w:bidi="ar-SA"/>
    </w:rPr>
  </w:style>
  <w:style w:type="paragraph" w:styleId="6">
    <w:name w:val="Body Text"/>
    <w:basedOn w:val="1"/>
    <w:qFormat/>
    <w:uiPriority w:val="0"/>
    <w:pPr>
      <w:jc w:val="center"/>
    </w:pPr>
    <w:rPr>
      <w:rFonts w:ascii="宋体" w:hAnsi="宋体"/>
      <w:color w:val="FF0000"/>
      <w:szCs w:val="24"/>
    </w:rPr>
  </w:style>
  <w:style w:type="paragraph" w:styleId="7">
    <w:name w:val="Body Text Indent"/>
    <w:basedOn w:val="1"/>
    <w:qFormat/>
    <w:uiPriority w:val="0"/>
    <w:pPr>
      <w:spacing w:line="360" w:lineRule="auto"/>
      <w:ind w:left="720" w:hanging="720" w:hangingChars="300"/>
    </w:pPr>
    <w:rPr>
      <w:sz w:val="24"/>
      <w:szCs w:val="20"/>
    </w:rPr>
  </w:style>
  <w:style w:type="paragraph" w:styleId="8">
    <w:name w:val="Plain Text"/>
    <w:basedOn w:val="1"/>
    <w:link w:val="19"/>
    <w:qFormat/>
    <w:uiPriority w:val="0"/>
    <w:rPr>
      <w:rFonts w:ascii="宋体" w:hAnsi="Courier New" w:cs="Courier New"/>
      <w:szCs w:val="21"/>
    </w:rPr>
  </w:style>
  <w:style w:type="paragraph" w:styleId="9">
    <w:name w:val="Date"/>
    <w:basedOn w:val="1"/>
    <w:next w:val="1"/>
    <w:qFormat/>
    <w:uiPriority w:val="0"/>
    <w:rPr>
      <w:szCs w:val="20"/>
    </w:rPr>
  </w:style>
  <w:style w:type="paragraph" w:styleId="10">
    <w:name w:val="footer"/>
    <w:basedOn w:val="1"/>
    <w:link w:val="23"/>
    <w:qFormat/>
    <w:uiPriority w:val="99"/>
    <w:pPr>
      <w:tabs>
        <w:tab w:val="center" w:pos="4153"/>
        <w:tab w:val="right" w:pos="8306"/>
      </w:tabs>
      <w:snapToGrid w:val="0"/>
      <w:jc w:val="left"/>
    </w:pPr>
    <w:rPr>
      <w:sz w:val="18"/>
      <w:szCs w:val="18"/>
    </w:rPr>
  </w:style>
  <w:style w:type="paragraph" w:styleId="11">
    <w:name w:val="header"/>
    <w:basedOn w:val="1"/>
    <w:link w:val="22"/>
    <w:qFormat/>
    <w:uiPriority w:val="0"/>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spacing w:before="100" w:beforeAutospacing="1" w:after="100" w:afterAutospacing="1"/>
      <w:jc w:val="left"/>
    </w:pPr>
    <w:rPr>
      <w:kern w:val="0"/>
      <w:sz w:val="24"/>
      <w:szCs w:val="20"/>
    </w:rPr>
  </w:style>
  <w:style w:type="table" w:styleId="14">
    <w:name w:val="Table Grid"/>
    <w:basedOn w:val="13"/>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6">
    <w:name w:val="Strong"/>
    <w:basedOn w:val="15"/>
    <w:qFormat/>
    <w:uiPriority w:val="22"/>
    <w:rPr>
      <w:b/>
      <w:bCs/>
    </w:rPr>
  </w:style>
  <w:style w:type="character" w:styleId="17">
    <w:name w:val="Hyperlink"/>
    <w:basedOn w:val="15"/>
    <w:qFormat/>
    <w:uiPriority w:val="0"/>
    <w:rPr>
      <w:color w:val="0000FF"/>
      <w:u w:val="single"/>
    </w:rPr>
  </w:style>
  <w:style w:type="character" w:customStyle="1" w:styleId="18">
    <w:name w:val="标题 3 Char"/>
    <w:basedOn w:val="15"/>
    <w:link w:val="5"/>
    <w:qFormat/>
    <w:uiPriority w:val="0"/>
    <w:rPr>
      <w:b/>
      <w:kern w:val="2"/>
      <w:sz w:val="24"/>
    </w:rPr>
  </w:style>
  <w:style w:type="character" w:customStyle="1" w:styleId="19">
    <w:name w:val="纯文本 Char"/>
    <w:basedOn w:val="15"/>
    <w:link w:val="8"/>
    <w:qFormat/>
    <w:uiPriority w:val="0"/>
    <w:rPr>
      <w:rFonts w:ascii="宋体" w:hAnsi="Courier New" w:cs="Courier New"/>
      <w:kern w:val="2"/>
      <w:sz w:val="21"/>
      <w:szCs w:val="21"/>
    </w:rPr>
  </w:style>
  <w:style w:type="paragraph" w:customStyle="1" w:styleId="20">
    <w:name w:val="Char"/>
    <w:basedOn w:val="1"/>
    <w:qFormat/>
    <w:uiPriority w:val="0"/>
    <w:rPr>
      <w:rFonts w:ascii="仿宋_GB2312" w:eastAsia="仿宋_GB2312"/>
      <w:b/>
      <w:sz w:val="32"/>
      <w:szCs w:val="32"/>
    </w:rPr>
  </w:style>
  <w:style w:type="paragraph" w:customStyle="1" w:styleId="21">
    <w:name w:val="样式 (西文) 宋体 行距: 1.5 倍行距"/>
    <w:basedOn w:val="1"/>
    <w:qFormat/>
    <w:uiPriority w:val="0"/>
    <w:pPr>
      <w:spacing w:line="360" w:lineRule="auto"/>
    </w:pPr>
    <w:rPr>
      <w:rFonts w:ascii="宋体" w:hAnsi="宋体" w:cs="宋体"/>
    </w:rPr>
  </w:style>
  <w:style w:type="character" w:customStyle="1" w:styleId="22">
    <w:name w:val="页眉 Char"/>
    <w:basedOn w:val="15"/>
    <w:link w:val="11"/>
    <w:qFormat/>
    <w:uiPriority w:val="0"/>
    <w:rPr>
      <w:kern w:val="2"/>
      <w:sz w:val="18"/>
      <w:szCs w:val="18"/>
    </w:rPr>
  </w:style>
  <w:style w:type="character" w:customStyle="1" w:styleId="23">
    <w:name w:val="页脚 Char"/>
    <w:basedOn w:val="15"/>
    <w:link w:val="10"/>
    <w:qFormat/>
    <w:uiPriority w:val="99"/>
    <w:rPr>
      <w:kern w:val="2"/>
      <w:sz w:val="18"/>
      <w:szCs w:val="18"/>
    </w:rPr>
  </w:style>
  <w:style w:type="character" w:customStyle="1" w:styleId="24">
    <w:name w:val="标题 2 Char"/>
    <w:basedOn w:val="15"/>
    <w:link w:val="4"/>
    <w:semiHidden/>
    <w:qFormat/>
    <w:uiPriority w:val="0"/>
    <w:rPr>
      <w:rFonts w:asciiTheme="majorHAnsi" w:hAnsiTheme="majorHAnsi" w:eastAsiaTheme="majorEastAsia" w:cstheme="majorBidi"/>
      <w:b/>
      <w:bCs/>
      <w:kern w:val="2"/>
      <w:sz w:val="32"/>
      <w:szCs w:val="32"/>
    </w:rPr>
  </w:style>
  <w:style w:type="paragraph" w:customStyle="1" w:styleId="25">
    <w:name w:val="List Paragraph"/>
    <w:basedOn w:val="1"/>
    <w:qFormat/>
    <w:uiPriority w:val="34"/>
    <w:pPr>
      <w:ind w:firstLine="420" w:firstLineChars="200"/>
    </w:pPr>
    <w:rPr>
      <w:rFonts w:ascii="Calibri" w:hAnsi="Calibri"/>
      <w:szCs w:val="22"/>
    </w:rPr>
  </w:style>
  <w:style w:type="character" w:customStyle="1" w:styleId="26">
    <w:name w:val="标题 1 Char"/>
    <w:basedOn w:val="15"/>
    <w:link w:val="3"/>
    <w:qFormat/>
    <w:uiPriority w:val="0"/>
    <w:rPr>
      <w:b/>
      <w:bCs/>
      <w:kern w:val="44"/>
      <w:sz w:val="44"/>
      <w:szCs w:val="44"/>
    </w:rPr>
  </w:style>
  <w:style w:type="paragraph" w:customStyle="1" w:styleId="27">
    <w:name w:val="表格"/>
    <w:basedOn w:val="1"/>
    <w:qFormat/>
    <w:uiPriority w:val="0"/>
    <w:pPr>
      <w:spacing w:line="360" w:lineRule="auto"/>
    </w:pPr>
    <w:rPr>
      <w:rFonts w:ascii="仿宋_GB2312" w:hAnsi="宋体" w:eastAsia="仿宋_GB2312"/>
      <w:bCs/>
      <w:color w:val="333333"/>
      <w:kern w:val="0"/>
      <w:sz w:val="28"/>
      <w:szCs w:val="24"/>
    </w:rPr>
  </w:style>
  <w:style w:type="paragraph" w:customStyle="1" w:styleId="28">
    <w:name w:val="_Style 1"/>
    <w:basedOn w:val="1"/>
    <w:qFormat/>
    <w:uiPriority w:val="34"/>
    <w:pPr>
      <w:ind w:firstLine="420" w:firstLineChars="200"/>
    </w:pPr>
  </w:style>
  <w:style w:type="paragraph" w:customStyle="1" w:styleId="29">
    <w:name w:val="样式3"/>
    <w:basedOn w:val="1"/>
    <w:qFormat/>
    <w:uiPriority w:val="0"/>
    <w:pPr>
      <w:spacing w:line="0" w:lineRule="atLeast"/>
      <w:outlineLvl w:val="0"/>
    </w:pPr>
    <w:rPr>
      <w:rFonts w:ascii="宋体" w:hAnsi="Courier New"/>
      <w:sz w:val="28"/>
      <w:szCs w:val="24"/>
    </w:rPr>
  </w:style>
  <w:style w:type="paragraph" w:customStyle="1" w:styleId="30">
    <w:name w:val="列出段落3"/>
    <w:basedOn w:val="1"/>
    <w:qFormat/>
    <w:uiPriority w:val="99"/>
    <w:pPr>
      <w:widowControl/>
      <w:spacing w:after="200" w:line="276" w:lineRule="auto"/>
      <w:ind w:firstLine="420" w:firstLineChars="200"/>
      <w:jc w:val="left"/>
    </w:pPr>
    <w:rPr>
      <w:kern w:val="0"/>
      <w:sz w:val="22"/>
      <w:szCs w:val="24"/>
    </w:rPr>
  </w:style>
  <w:style w:type="paragraph" w:customStyle="1" w:styleId="31">
    <w:name w:val="招标文件样式2"/>
    <w:basedOn w:val="1"/>
    <w:qFormat/>
    <w:uiPriority w:val="99"/>
    <w:pPr>
      <w:jc w:val="center"/>
      <w:outlineLvl w:val="0"/>
    </w:pPr>
    <w:rPr>
      <w:rFonts w:ascii="宋体" w:hAnsi="宋体"/>
      <w:b/>
      <w:sz w:val="28"/>
      <w:szCs w:val="28"/>
    </w:rPr>
  </w:style>
  <w:style w:type="paragraph" w:customStyle="1" w:styleId="32">
    <w:name w:val="列出段落1"/>
    <w:basedOn w:val="1"/>
    <w:qFormat/>
    <w:uiPriority w:val="99"/>
    <w:pPr>
      <w:ind w:firstLine="420" w:firstLineChars="200"/>
    </w:pPr>
  </w:style>
  <w:style w:type="paragraph" w:customStyle="1" w:styleId="33">
    <w:name w:val="文档正文"/>
    <w:basedOn w:val="1"/>
    <w:qFormat/>
    <w:uiPriority w:val="0"/>
    <w:pPr>
      <w:adjustRightInd w:val="0"/>
      <w:spacing w:line="312" w:lineRule="atLeast"/>
      <w:ind w:firstLine="567"/>
      <w:textAlignment w:val="baseline"/>
    </w:pPr>
    <w:rPr>
      <w:rFonts w:ascii="长城仿宋" w:eastAsia="长城仿宋" w:hAnsiTheme="minorHAnsi" w:cstheme="minorBidi"/>
      <w:snapToGrid w:val="0"/>
      <w:kern w:val="0"/>
      <w:sz w:val="28"/>
      <w:szCs w:val="22"/>
    </w:rPr>
  </w:style>
  <w:style w:type="paragraph" w:customStyle="1" w:styleId="34">
    <w:name w:val="List Paragraph1"/>
    <w:basedOn w:val="1"/>
    <w:qFormat/>
    <w:uiPriority w:val="99"/>
    <w:pPr>
      <w:ind w:firstLine="420" w:firstLineChars="200"/>
    </w:pPr>
  </w:style>
  <w:style w:type="paragraph" w:customStyle="1" w:styleId="35">
    <w:name w:val="msolistparagraph"/>
    <w:basedOn w:val="1"/>
    <w:qFormat/>
    <w:uiPriority w:val="0"/>
    <w:pPr>
      <w:adjustRightInd w:val="0"/>
      <w:snapToGrid w:val="0"/>
      <w:ind w:firstLine="420" w:firstLineChars="200"/>
    </w:pPr>
    <w:rPr>
      <w:sz w:val="28"/>
      <w:szCs w:val="24"/>
    </w:rPr>
  </w:style>
  <w:style w:type="character" w:customStyle="1" w:styleId="36">
    <w:name w:val="font31"/>
    <w:basedOn w:val="15"/>
    <w:qFormat/>
    <w:uiPriority w:val="0"/>
    <w:rPr>
      <w:rFonts w:hint="eastAsia" w:ascii="宋体" w:hAnsi="宋体" w:eastAsia="宋体" w:cs="Times New Roman"/>
      <w:color w:val="000000"/>
      <w:sz w:val="20"/>
      <w:szCs w:val="20"/>
      <w:u w:val="none"/>
    </w:rPr>
  </w:style>
  <w:style w:type="character" w:customStyle="1" w:styleId="37">
    <w:name w:val="font21"/>
    <w:basedOn w:val="15"/>
    <w:qFormat/>
    <w:uiPriority w:val="0"/>
    <w:rPr>
      <w:rFonts w:hint="eastAsia" w:ascii="宋体" w:hAnsi="宋体" w:eastAsia="宋体" w:cs="宋体"/>
      <w:color w:val="000000"/>
      <w:sz w:val="18"/>
      <w:szCs w:val="18"/>
      <w:u w:val="none"/>
    </w:rPr>
  </w:style>
  <w:style w:type="paragraph" w:customStyle="1" w:styleId="38">
    <w:name w:val="Default"/>
    <w:qFormat/>
    <w:uiPriority w:val="0"/>
    <w:pPr>
      <w:autoSpaceDE w:val="0"/>
      <w:autoSpaceDN w:val="0"/>
      <w:adjustRightInd w:val="0"/>
    </w:pPr>
    <w:rPr>
      <w:rFonts w:ascii="Times New Roman" w:hAnsi="Times New Roman" w:cs="Times New Roman" w:eastAsiaTheme="minorEastAsia"/>
      <w:color w:val="000000"/>
      <w:sz w:val="24"/>
      <w:szCs w:val="24"/>
      <w:lang w:val="en-US" w:eastAsia="zh-CN" w:bidi="ar-SA"/>
    </w:rPr>
  </w:style>
  <w:style w:type="character" w:customStyle="1" w:styleId="39">
    <w:name w:val="NormalCharacter"/>
    <w:link w:val="1"/>
    <w:qFormat/>
    <w:uiPriority w:val="0"/>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0062B0C-6525-40BD-B860-EA693F49E77D}">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1024</Words>
  <Characters>5842</Characters>
  <Lines>48</Lines>
  <Paragraphs>13</Paragraphs>
  <TotalTime>4</TotalTime>
  <ScaleCrop>false</ScaleCrop>
  <LinksUpToDate>false</LinksUpToDate>
  <CharactersWithSpaces>6853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2017-05-23T01:07:00Z</dcterms:created>
  <dc:creator>User</dc:creator>
  <cp:lastModifiedBy>云中漫步1398606018</cp:lastModifiedBy>
  <cp:lastPrinted>2017-09-05T08:05:00Z</cp:lastPrinted>
  <dcterms:modified xsi:type="dcterms:W3CDTF">2021-02-22T06:38:27Z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