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19118"/>
      <w:bookmarkStart w:id="4" w:name="_Toc201401658"/>
      <w:bookmarkStart w:id="5" w:name="_Toc20174311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60288;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1312;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2336;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3360;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909"/>
        <w:gridCol w:w="7050"/>
        <w:gridCol w:w="92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0" w:type="auto"/>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865"/>
              <w:gridCol w:w="1106"/>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86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106"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6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气压振动排痰机</w:t>
                  </w:r>
                </w:p>
              </w:tc>
              <w:tc>
                <w:tcPr>
                  <w:tcW w:w="1106"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color w:val="auto"/>
                      <w:kern w:val="0"/>
                      <w:sz w:val="24"/>
                      <w:szCs w:val="24"/>
                      <w:lang w:val="en-US" w:eastAsia="zh-CN"/>
                    </w:rPr>
                  </w:pPr>
                  <w:r>
                    <w:rPr>
                      <w:rFonts w:ascii="宋体" w:hAnsi="宋体" w:cs="宋体"/>
                      <w:color w:val="auto"/>
                      <w:kern w:val="0"/>
                      <w:sz w:val="24"/>
                      <w:szCs w:val="24"/>
                    </w:rPr>
                    <w:t> </w:t>
                  </w:r>
                  <w:r>
                    <w:rPr>
                      <w:rFonts w:hint="eastAsia" w:ascii="宋体" w:hAnsi="宋体" w:cs="宋体"/>
                      <w:color w:val="auto"/>
                      <w:kern w:val="0"/>
                      <w:sz w:val="24"/>
                      <w:szCs w:val="24"/>
                      <w:lang w:val="en-US" w:eastAsia="zh-CN"/>
                    </w:rPr>
                    <w:t>30000</w:t>
                  </w:r>
                </w:p>
              </w:tc>
              <w:tc>
                <w:tcPr>
                  <w:tcW w:w="1775" w:type="dxa"/>
                  <w:tcBorders>
                    <w:top w:val="single" w:color="auto" w:sz="6" w:space="0"/>
                    <w:left w:val="single" w:color="auto" w:sz="6" w:space="0"/>
                    <w:bottom w:val="nil"/>
                    <w:right w:val="nil"/>
                  </w:tcBorders>
                  <w:noWrap w:val="0"/>
                  <w:vAlign w:val="center"/>
                </w:tcPr>
                <w:p>
                  <w:pPr>
                    <w:widowControl/>
                    <w:ind w:firstLine="240" w:firstLineChars="100"/>
                    <w:jc w:val="left"/>
                    <w:rPr>
                      <w:rFonts w:ascii="宋体" w:hAnsi="宋体" w:cs="宋体"/>
                      <w:color w:val="auto"/>
                      <w:kern w:val="0"/>
                      <w:sz w:val="24"/>
                      <w:szCs w:val="24"/>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auto"/>
                      <w:kern w:val="0"/>
                      <w:sz w:val="24"/>
                      <w:szCs w:val="24"/>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color w:val="FF0000"/>
              </w:rPr>
              <w:t>▲</w:t>
            </w:r>
            <w:r>
              <w:rPr>
                <w:rFonts w:hint="eastAsia"/>
              </w:rPr>
              <w:t>1</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sz w:val="24"/>
                <w:szCs w:val="24"/>
              </w:rPr>
              <w:t>气压范围：1.5~4.0kpa(分为9个档位)；气压精度：</w:t>
            </w:r>
            <w:r>
              <w:rPr>
                <w:rFonts w:hint="eastAsia" w:ascii="宋体" w:hAnsi="宋体" w:cs="宋体"/>
                <w:sz w:val="24"/>
                <w:szCs w:val="24"/>
              </w:rPr>
              <w:t>±0.2kpa。</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2</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sz w:val="24"/>
                <w:szCs w:val="24"/>
              </w:rPr>
              <w:t>外置电源，避免主机运行过程中过热。</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3</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cs="宋体"/>
                <w:color w:val="000000"/>
                <w:sz w:val="24"/>
                <w:szCs w:val="24"/>
              </w:rPr>
              <w:t>空气脉冲主机：重量</w:t>
            </w:r>
            <w:r>
              <w:rPr>
                <w:rFonts w:ascii="宋体" w:hAnsi="宋体" w:cs="宋体"/>
                <w:color w:val="000000"/>
                <w:sz w:val="24"/>
                <w:szCs w:val="24"/>
              </w:rPr>
              <w:t>≤</w:t>
            </w:r>
            <w:r>
              <w:rPr>
                <w:rFonts w:hint="eastAsia" w:ascii="宋体" w:hAnsi="宋体" w:cs="宋体"/>
                <w:color w:val="000000"/>
                <w:sz w:val="24"/>
                <w:szCs w:val="24"/>
              </w:rPr>
              <w:t>6.5kg，长</w:t>
            </w:r>
            <w:r>
              <w:rPr>
                <w:rFonts w:ascii="宋体" w:hAnsi="宋体" w:cs="宋体"/>
                <w:color w:val="000000"/>
                <w:sz w:val="24"/>
                <w:szCs w:val="24"/>
              </w:rPr>
              <w:t>≤</w:t>
            </w:r>
            <w:r>
              <w:rPr>
                <w:rFonts w:hint="eastAsia" w:ascii="宋体" w:hAnsi="宋体" w:cs="宋体"/>
                <w:color w:val="000000"/>
                <w:sz w:val="24"/>
                <w:szCs w:val="24"/>
              </w:rPr>
              <w:t>28cm，宽</w:t>
            </w:r>
            <w:r>
              <w:rPr>
                <w:rFonts w:ascii="宋体" w:hAnsi="宋体" w:cs="宋体"/>
                <w:color w:val="000000"/>
                <w:sz w:val="24"/>
                <w:szCs w:val="24"/>
              </w:rPr>
              <w:t>≤</w:t>
            </w:r>
            <w:r>
              <w:rPr>
                <w:rFonts w:hint="eastAsia" w:ascii="宋体" w:hAnsi="宋体" w:cs="宋体"/>
                <w:color w:val="000000"/>
                <w:sz w:val="24"/>
                <w:szCs w:val="24"/>
              </w:rPr>
              <w:t xml:space="preserve"> 26cm，高</w:t>
            </w:r>
            <w:r>
              <w:rPr>
                <w:rFonts w:ascii="宋体" w:hAnsi="宋体" w:cs="宋体"/>
                <w:color w:val="000000"/>
                <w:sz w:val="24"/>
                <w:szCs w:val="24"/>
              </w:rPr>
              <w:t>≤</w:t>
            </w:r>
            <w:r>
              <w:rPr>
                <w:rFonts w:hint="eastAsia" w:ascii="宋体" w:hAnsi="宋体" w:cs="宋体"/>
                <w:color w:val="000000"/>
                <w:sz w:val="24"/>
                <w:szCs w:val="24"/>
              </w:rPr>
              <w:t>22cm。噪声</w:t>
            </w:r>
            <w:r>
              <w:rPr>
                <w:rFonts w:ascii="宋体" w:hAnsi="宋体" w:cs="宋体"/>
                <w:color w:val="000000"/>
                <w:sz w:val="24"/>
                <w:szCs w:val="24"/>
              </w:rPr>
              <w:t>≤65dB(A)</w:t>
            </w:r>
            <w:r>
              <w:rPr>
                <w:rFonts w:hint="eastAsia" w:ascii="宋体" w:hAnsi="宋体" w:cs="宋体"/>
                <w:color w:val="000000"/>
                <w:sz w:val="24"/>
                <w:szCs w:val="24"/>
              </w:rPr>
              <w:t>。</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4</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sz w:val="24"/>
                <w:szCs w:val="24"/>
              </w:rPr>
              <w:t>气流频率:5Hz~22Hz（1Hz步进）；频率分布：多级可调（18段可调）；频率精度：</w:t>
            </w:r>
            <w:r>
              <w:rPr>
                <w:rFonts w:hint="eastAsia" w:ascii="宋体" w:hAnsi="宋体" w:cs="宋体"/>
                <w:sz w:val="24"/>
                <w:szCs w:val="24"/>
              </w:rPr>
              <w:t>±10%。</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5</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sz w:val="24"/>
                <w:szCs w:val="24"/>
              </w:rPr>
              <w:t>配有蓝牙急停开关。可以在半径十米之内控制机器暂停工作。</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6</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sz w:val="24"/>
                <w:szCs w:val="24"/>
              </w:rPr>
              <w:t>定时范围：1~15分钟，（分为15档位），到时自动停机；定时精度：</w:t>
            </w:r>
            <w:r>
              <w:rPr>
                <w:rFonts w:hint="eastAsia" w:ascii="宋体" w:hAnsi="宋体" w:cs="宋体"/>
                <w:sz w:val="24"/>
                <w:szCs w:val="24"/>
              </w:rPr>
              <w:t>±10%。</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7</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ascii="宋体" w:hAnsi="宋体" w:cs="宋体"/>
                <w:color w:val="000000"/>
                <w:sz w:val="24"/>
                <w:szCs w:val="24"/>
              </w:rPr>
              <w:t>参数化治疗，简化治疗的程序。</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8</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ascii="宋体" w:hAnsi="宋体" w:cs="宋体"/>
                <w:color w:val="000000"/>
                <w:sz w:val="24"/>
                <w:szCs w:val="24"/>
              </w:rPr>
              <w:t>操作简单方便，</w:t>
            </w:r>
            <w:r>
              <w:rPr>
                <w:rFonts w:hint="eastAsia" w:ascii="宋体" w:hAnsi="宋体" w:cs="宋体"/>
                <w:color w:val="000000"/>
                <w:sz w:val="24"/>
                <w:szCs w:val="24"/>
              </w:rPr>
              <w:t>穿上背心，按要求启动仪器即可。</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9</w:t>
            </w:r>
          </w:p>
        </w:tc>
        <w:tc>
          <w:tcPr>
            <w:tcW w:w="705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eastAsia="宋体" w:cs="宋体"/>
                <w:color w:val="auto"/>
                <w:kern w:val="0"/>
                <w:sz w:val="24"/>
                <w:szCs w:val="24"/>
                <w:lang w:val="en-US" w:eastAsia="zh-CN" w:bidi="ar-SA"/>
              </w:rPr>
            </w:pPr>
            <w:r>
              <w:rPr>
                <w:rFonts w:hint="eastAsia" w:ascii="宋体" w:hAnsi="宋体" w:cs="宋体"/>
                <w:color w:val="000000"/>
                <w:sz w:val="24"/>
                <w:szCs w:val="24"/>
              </w:rPr>
              <w:t>高频运动的胸壁模拟了咳嗽的过程，通过胸带气囊使病人胸腔产生高速、轻微的振荡，从而使得粘稠的痰液松动、脱落、稀释、聚集，同时刺激气道壁纤毛摆动，痰液被转移至气管和口腔排除。</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color w:val="000000"/>
                <w:kern w:val="0"/>
                <w:sz w:val="24"/>
                <w:szCs w:val="24"/>
              </w:rPr>
              <w:t>10</w:t>
            </w:r>
          </w:p>
        </w:tc>
        <w:tc>
          <w:tcPr>
            <w:tcW w:w="7050" w:type="dxa"/>
            <w:tcBorders>
              <w:top w:val="single" w:color="auto" w:sz="6" w:space="0"/>
              <w:left w:val="single" w:color="auto" w:sz="6" w:space="0"/>
              <w:bottom w:val="nil"/>
              <w:right w:val="nil"/>
            </w:tcBorders>
            <w:noWrap w:val="0"/>
            <w:vAlign w:val="center"/>
          </w:tcPr>
          <w:p>
            <w:pPr>
              <w:spacing w:line="360" w:lineRule="auto"/>
              <w:ind w:firstLine="120" w:firstLineChars="50"/>
              <w:rPr>
                <w:rFonts w:hint="eastAsia"/>
                <w:color w:val="auto"/>
              </w:rPr>
            </w:pPr>
            <w:r>
              <w:rPr>
                <w:rFonts w:hint="eastAsia" w:ascii="宋体" w:hAnsi="宋体" w:cs="宋体"/>
                <w:color w:val="000000"/>
                <w:sz w:val="24"/>
                <w:szCs w:val="24"/>
              </w:rPr>
              <w:t>主机高速地充气和放气，通过胸带气囊使患者的胸壁产生振动。</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color w:val="000000"/>
                <w:kern w:val="0"/>
                <w:sz w:val="24"/>
                <w:szCs w:val="24"/>
              </w:rPr>
              <w:t>11</w:t>
            </w:r>
          </w:p>
        </w:tc>
        <w:tc>
          <w:tcPr>
            <w:tcW w:w="7050" w:type="dxa"/>
            <w:tcBorders>
              <w:top w:val="single" w:color="auto" w:sz="6" w:space="0"/>
              <w:left w:val="single" w:color="auto" w:sz="6" w:space="0"/>
              <w:bottom w:val="nil"/>
              <w:right w:val="nil"/>
            </w:tcBorders>
            <w:noWrap w:val="0"/>
            <w:vAlign w:val="center"/>
          </w:tcPr>
          <w:p>
            <w:pPr>
              <w:spacing w:line="360" w:lineRule="auto"/>
              <w:ind w:firstLine="120" w:firstLineChars="50"/>
              <w:rPr>
                <w:rFonts w:hint="eastAsia"/>
                <w:color w:val="auto"/>
              </w:rPr>
            </w:pPr>
            <w:r>
              <w:rPr>
                <w:rFonts w:hint="eastAsia" w:ascii="宋体" w:hAnsi="宋体" w:cs="宋体"/>
                <w:color w:val="000000"/>
                <w:sz w:val="24"/>
                <w:szCs w:val="24"/>
              </w:rPr>
              <w:t xml:space="preserve">工作原理：是通过 </w:t>
            </w:r>
            <w:r>
              <w:rPr>
                <w:rFonts w:ascii="宋体" w:hAnsi="宋体" w:cs="宋体"/>
                <w:color w:val="000000"/>
                <w:sz w:val="24"/>
                <w:szCs w:val="24"/>
              </w:rPr>
              <w:t>HFCWO</w:t>
            </w:r>
            <w:r>
              <w:rPr>
                <w:rFonts w:hint="eastAsia" w:ascii="宋体" w:hAnsi="宋体" w:cs="宋体"/>
                <w:color w:val="000000"/>
                <w:sz w:val="24"/>
                <w:szCs w:val="24"/>
              </w:rPr>
              <w:t xml:space="preserve"> (高频胸壁振荡)技术清除肺内分泌物的治疗系统。</w:t>
            </w:r>
          </w:p>
        </w:tc>
        <w:tc>
          <w:tcPr>
            <w:tcW w:w="921"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lang w:val="en-US" w:eastAsia="zh-CN"/>
              </w:rPr>
            </w:pPr>
            <w:r>
              <w:rPr>
                <w:rFonts w:hint="eastAsia" w:ascii="宋体" w:hAnsi="宋体" w:cs="宋体"/>
                <w:color w:val="000000"/>
                <w:kern w:val="0"/>
                <w:sz w:val="24"/>
                <w:szCs w:val="24"/>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付款</w:t>
                  </w:r>
                  <w:bookmarkStart w:id="15" w:name="_GoBack"/>
                  <w:bookmarkEnd w:id="15"/>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Segoe UI Emoji">
    <w:altName w:val="Segoe UI"/>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A89537D"/>
    <w:rsid w:val="3B3F2D85"/>
    <w:rsid w:val="3B5330E7"/>
    <w:rsid w:val="3BA50E74"/>
    <w:rsid w:val="3BD85452"/>
    <w:rsid w:val="3BF6596E"/>
    <w:rsid w:val="3C125C3B"/>
    <w:rsid w:val="3CC86BE5"/>
    <w:rsid w:val="3CED6006"/>
    <w:rsid w:val="3D132062"/>
    <w:rsid w:val="3D83213E"/>
    <w:rsid w:val="3DDB4F84"/>
    <w:rsid w:val="3F033133"/>
    <w:rsid w:val="3F07560F"/>
    <w:rsid w:val="3F6D6B69"/>
    <w:rsid w:val="3FD3744D"/>
    <w:rsid w:val="3FEF7ADA"/>
    <w:rsid w:val="40A83A07"/>
    <w:rsid w:val="413B52EC"/>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43200"/>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2020-12-11T03:01:28Z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