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10</w:t>
            </w:r>
            <w:r>
              <w:rPr>
                <w:rFonts w:hint="eastAsia"/>
              </w:rPr>
              <w:t>分，其他参数每负偏离一项扣</w:t>
            </w:r>
            <w:r>
              <w:rPr>
                <w:rFonts w:hint="eastAsia"/>
                <w:lang w:val="en-US" w:eastAsia="zh-CN"/>
              </w:rPr>
              <w:t>3.5</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43116"/>
      <w:bookmarkStart w:id="4" w:name="_Toc201719118"/>
      <w:bookmarkStart w:id="5" w:name="_Toc201401658"/>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865"/>
              <w:gridCol w:w="1106"/>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86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106"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6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幽门螺杆菌呼气检测系统（婴幼儿）</w:t>
                  </w:r>
                </w:p>
              </w:tc>
              <w:tc>
                <w:tcPr>
                  <w:tcW w:w="1106"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r>
                    <w:rPr>
                      <w:rFonts w:ascii="宋体" w:hAnsi="宋体" w:cs="宋体"/>
                      <w:color w:val="auto"/>
                      <w:kern w:val="0"/>
                      <w:sz w:val="24"/>
                      <w:szCs w:val="24"/>
                    </w:rPr>
                    <w:t> </w:t>
                  </w:r>
                  <w:r>
                    <w:rPr>
                      <w:rFonts w:hint="eastAsia" w:ascii="宋体" w:hAnsi="宋体" w:cs="宋体"/>
                      <w:color w:val="auto"/>
                      <w:kern w:val="0"/>
                      <w:sz w:val="24"/>
                      <w:szCs w:val="24"/>
                    </w:rPr>
                    <w:t>5</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,000</w:t>
                  </w:r>
                </w:p>
              </w:tc>
              <w:tc>
                <w:tcPr>
                  <w:tcW w:w="1775" w:type="dxa"/>
                  <w:tcBorders>
                    <w:top w:val="single" w:color="auto" w:sz="6" w:space="0"/>
                    <w:left w:val="single" w:color="auto" w:sz="6" w:space="0"/>
                    <w:bottom w:val="nil"/>
                    <w:right w:val="nil"/>
                  </w:tcBorders>
                  <w:noWrap w:val="0"/>
                  <w:vAlign w:val="center"/>
                </w:tcPr>
                <w:p>
                  <w:pPr>
                    <w:widowControl/>
                    <w:ind w:firstLine="240" w:firstLineChars="100"/>
                    <w:jc w:val="left"/>
                    <w:rPr>
                      <w:rFonts w:ascii="宋体" w:hAnsi="宋体" w:cs="宋体"/>
                      <w:color w:val="auto"/>
                      <w:kern w:val="0"/>
                      <w:sz w:val="24"/>
                      <w:szCs w:val="24"/>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color w:val="auto"/>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auto"/>
                <w:lang w:eastAsia="zh-CN"/>
              </w:rPr>
              <w:t>仪器内置泵自动集气</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auto"/>
              </w:rPr>
              <w:t>▲</w:t>
            </w:r>
            <w:r>
              <w:rPr>
                <w:rFonts w:hint="eastAsia" w:ascii="宋体" w:hAnsi="宋体" w:cs="宋体"/>
                <w:color w:val="auto"/>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auto"/>
              </w:rPr>
              <w:t>鼻导管式自动收集气体</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宋体" w:hAnsi="宋体" w:cs="宋体"/>
                <w:color w:val="auto"/>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auto"/>
              </w:rPr>
              <w:t>小剂量包装试剂，45mg及以下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auto"/>
              </w:rPr>
              <w:t>冷激光，连续流的检测原理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olor w:val="auto"/>
              </w:rPr>
              <w:t>精准度：对于测量范围</w:t>
            </w:r>
            <w:r>
              <w:rPr>
                <w:rFonts w:ascii="宋体" w:hAnsi="宋体"/>
                <w:color w:val="auto"/>
              </w:rPr>
              <w:t>0-5DOB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auto"/>
              </w:rPr>
              <w:t>自动检测仪器使用状态，自动校准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olor w:val="auto"/>
              </w:rPr>
              <w:t>准确性：单点的标准偏差：土</w:t>
            </w:r>
            <w:r>
              <w:rPr>
                <w:rFonts w:ascii="宋体" w:hAnsi="宋体"/>
                <w:color w:val="auto"/>
              </w:rPr>
              <w:t xml:space="preserve"> 1.0 DOB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olor w:val="auto"/>
              </w:rPr>
              <w:t>测量范围：</w:t>
            </w:r>
            <w:r>
              <w:rPr>
                <w:rFonts w:ascii="宋体" w:hAnsi="宋体"/>
                <w:color w:val="auto"/>
              </w:rPr>
              <w:t>0-16 DOB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color w:val="auto"/>
              </w:rPr>
              <w:t>检测时间在20分钟以内</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ascii="宋体" w:hAnsi="宋体" w:eastAsia="宋体" w:cs="宋体"/>
                <w:color w:val="auto"/>
                <w:sz w:val="24"/>
                <w:szCs w:val="24"/>
                <w:lang w:val="en-US" w:eastAsia="zh-CN"/>
              </w:rPr>
            </w:pPr>
            <w:r>
              <w:rPr>
                <w:rFonts w:hint="eastAsia" w:cs="宋体"/>
                <w:color w:val="auto"/>
                <w:kern w:val="2"/>
                <w:sz w:val="24"/>
                <w:szCs w:val="24"/>
                <w:lang w:val="en-US" w:eastAsia="zh-CN" w:bidi="ar-SA"/>
              </w:rPr>
              <w:t>婴儿13C呼气检测试剂150元/人份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2020-11-10T01:30:44Z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