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lang w:val="en-US" w:eastAsia="zh-CN"/>
              </w:rPr>
              <w:t>53</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lang w:val="en-US" w:eastAsia="zh-CN"/>
              </w:rPr>
              <w:t>2</w:t>
            </w:r>
            <w:r>
              <w:rPr>
                <w:rFonts w:hint="eastAsia" w:ascii="宋体" w:hAnsi="宋体" w:cs="宋体"/>
                <w:sz w:val="24"/>
                <w:szCs w:val="24"/>
              </w:rPr>
              <w:t>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3116"/>
      <w:bookmarkStart w:id="4" w:name="_Toc201997946"/>
      <w:bookmarkStart w:id="5" w:name="_Toc201719118"/>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793"/>
        <w:gridCol w:w="6660"/>
        <w:gridCol w:w="142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kern w:val="0"/>
              </w:rPr>
              <w:t>项目背景</w:t>
            </w:r>
          </w:p>
        </w:tc>
        <w:tc>
          <w:tcPr>
            <w:tcW w:w="8880" w:type="dxa"/>
            <w:gridSpan w:val="3"/>
            <w:tcBorders>
              <w:top w:val="single" w:color="auto" w:sz="6" w:space="0"/>
              <w:left w:val="single" w:color="auto" w:sz="6" w:space="0"/>
              <w:bottom w:val="nil"/>
              <w:right w:val="nil"/>
            </w:tcBorders>
            <w:noWrap w:val="0"/>
            <w:vAlign w:val="center"/>
          </w:tcPr>
          <w:p>
            <w:pPr>
              <w:pStyle w:val="24"/>
              <w:spacing w:before="78" w:beforeLines="25" w:line="360" w:lineRule="auto"/>
              <w:ind w:left="118" w:leftChars="56" w:right="124" w:rightChars="59" w:firstLine="480" w:firstLineChars="200"/>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kern w:val="0"/>
              </w:rPr>
              <w:t>货物清单</w:t>
            </w:r>
          </w:p>
        </w:tc>
        <w:tc>
          <w:tcPr>
            <w:tcW w:w="8880" w:type="dxa"/>
            <w:gridSpan w:val="3"/>
            <w:tcBorders>
              <w:top w:val="single" w:color="auto" w:sz="6" w:space="0"/>
              <w:left w:val="single" w:color="auto" w:sz="6" w:space="0"/>
              <w:bottom w:val="nil"/>
              <w:right w:val="nil"/>
            </w:tcBorders>
            <w:noWrap w:val="0"/>
            <w:vAlign w:val="center"/>
          </w:tcPr>
          <w:tbl>
            <w:tblPr>
              <w:tblStyle w:val="12"/>
              <w:tblW w:w="7844"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741"/>
              <w:gridCol w:w="993"/>
              <w:gridCol w:w="992"/>
              <w:gridCol w:w="1770"/>
              <w:gridCol w:w="134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741" w:type="dxa"/>
                  <w:tcBorders>
                    <w:top w:val="nil"/>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设备</w:t>
                  </w:r>
                  <w:r>
                    <w:rPr>
                      <w:rFonts w:ascii="宋体" w:hAnsi="宋体" w:cs="宋体"/>
                      <w:kern w:val="0"/>
                    </w:rPr>
                    <w:t xml:space="preserve">名称 </w:t>
                  </w:r>
                </w:p>
              </w:tc>
              <w:tc>
                <w:tcPr>
                  <w:tcW w:w="993" w:type="dxa"/>
                  <w:tcBorders>
                    <w:top w:val="nil"/>
                    <w:left w:val="single" w:color="auto" w:sz="6" w:space="0"/>
                    <w:bottom w:val="nil"/>
                    <w:right w:val="nil"/>
                  </w:tcBorders>
                  <w:noWrap w:val="0"/>
                  <w:vAlign w:val="center"/>
                </w:tcPr>
                <w:p>
                  <w:pPr>
                    <w:widowControl/>
                    <w:jc w:val="center"/>
                    <w:rPr>
                      <w:rFonts w:ascii="宋体" w:hAnsi="宋体" w:cs="宋体"/>
                      <w:kern w:val="0"/>
                    </w:rPr>
                  </w:pPr>
                  <w:r>
                    <w:rPr>
                      <w:rFonts w:ascii="宋体" w:hAnsi="宋体" w:cs="宋体"/>
                      <w:kern w:val="0"/>
                    </w:rPr>
                    <w:t>数量</w:t>
                  </w:r>
                </w:p>
              </w:tc>
              <w:tc>
                <w:tcPr>
                  <w:tcW w:w="992" w:type="dxa"/>
                  <w:tcBorders>
                    <w:top w:val="nil"/>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总</w:t>
                  </w:r>
                  <w:r>
                    <w:rPr>
                      <w:rFonts w:ascii="宋体" w:hAnsi="宋体" w:cs="宋体"/>
                      <w:kern w:val="0"/>
                    </w:rPr>
                    <w:t>预算</w:t>
                  </w:r>
                  <w:r>
                    <w:rPr>
                      <w:rFonts w:hint="eastAsia" w:ascii="宋体" w:hAnsi="宋体" w:cs="宋体"/>
                      <w:kern w:val="0"/>
                    </w:rPr>
                    <w:t>金</w:t>
                  </w:r>
                  <w:r>
                    <w:rPr>
                      <w:rFonts w:ascii="宋体" w:hAnsi="宋体" w:cs="宋体"/>
                      <w:kern w:val="0"/>
                    </w:rPr>
                    <w:t>额(元)</w:t>
                  </w:r>
                </w:p>
              </w:tc>
              <w:tc>
                <w:tcPr>
                  <w:tcW w:w="1348" w:type="dxa"/>
                  <w:tcBorders>
                    <w:top w:val="nil"/>
                    <w:left w:val="single" w:color="auto" w:sz="6" w:space="0"/>
                    <w:bottom w:val="nil"/>
                    <w:right w:val="nil"/>
                  </w:tcBorders>
                  <w:noWrap w:val="0"/>
                  <w:vAlign w:val="center"/>
                </w:tcPr>
                <w:p>
                  <w:pPr>
                    <w:widowControl/>
                    <w:jc w:val="center"/>
                    <w:rPr>
                      <w:rFonts w:ascii="宋体" w:hAnsi="宋体" w:cs="宋体"/>
                      <w:kern w:val="0"/>
                    </w:rPr>
                  </w:pPr>
                  <w:r>
                    <w:rPr>
                      <w:rFonts w:ascii="宋体" w:hAnsi="宋体" w:cs="宋体"/>
                      <w:kern w:val="0"/>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741" w:type="dxa"/>
                  <w:tcBorders>
                    <w:top w:val="single" w:color="auto" w:sz="6" w:space="0"/>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冻干机</w:t>
                  </w:r>
                </w:p>
              </w:tc>
              <w:tc>
                <w:tcPr>
                  <w:tcW w:w="993" w:type="dxa"/>
                  <w:tcBorders>
                    <w:top w:val="single" w:color="auto" w:sz="6" w:space="0"/>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1</w:t>
                  </w:r>
                </w:p>
              </w:tc>
              <w:tc>
                <w:tcPr>
                  <w:tcW w:w="992" w:type="dxa"/>
                  <w:tcBorders>
                    <w:top w:val="single" w:color="auto" w:sz="6" w:space="0"/>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kern w:val="0"/>
                    </w:rPr>
                  </w:pPr>
                  <w:r>
                    <w:rPr>
                      <w:rFonts w:ascii="宋体" w:hAnsi="宋体" w:cs="宋体"/>
                      <w:kern w:val="0"/>
                    </w:rPr>
                    <w:t>198000.00</w:t>
                  </w:r>
                </w:p>
              </w:tc>
              <w:tc>
                <w:tcPr>
                  <w:tcW w:w="1348" w:type="dxa"/>
                  <w:tcBorders>
                    <w:top w:val="single" w:color="auto" w:sz="6" w:space="0"/>
                    <w:left w:val="single" w:color="auto" w:sz="6" w:space="0"/>
                    <w:bottom w:val="nil"/>
                    <w:right w:val="nil"/>
                  </w:tcBorders>
                  <w:noWrap w:val="0"/>
                  <w:vAlign w:val="center"/>
                </w:tcPr>
                <w:p>
                  <w:pPr>
                    <w:widowControl/>
                    <w:jc w:val="center"/>
                    <w:rPr>
                      <w:rFonts w:ascii="宋体" w:hAnsi="宋体" w:cs="宋体"/>
                      <w:kern w:val="0"/>
                    </w:rPr>
                  </w:pPr>
                  <w:r>
                    <w:rPr>
                      <w:rFonts w:hint="eastAsia" w:ascii="宋体" w:hAnsi="宋体" w:cs="宋体"/>
                      <w:kern w:val="0"/>
                    </w:rPr>
                    <w:t>进口</w:t>
                  </w:r>
                </w:p>
              </w:tc>
            </w:tr>
          </w:tbl>
          <w:p>
            <w:pPr>
              <w:widowControl/>
              <w:spacing w:line="40" w:lineRule="exact"/>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jc w:val="center"/>
              <w:rPr>
                <w:rFonts w:ascii="宋体" w:hAnsi="宋体" w:cs="宋体"/>
                <w:b/>
                <w:kern w:val="0"/>
                <w:sz w:val="24"/>
                <w:szCs w:val="24"/>
              </w:rPr>
            </w:pPr>
            <w:r>
              <w:rPr>
                <w:rFonts w:hint="eastAsia" w:ascii="宋体" w:hAnsi="宋体" w:cs="宋体"/>
                <w:bCs/>
                <w:kern w:val="0"/>
              </w:rPr>
              <w:t>技术要求</w:t>
            </w: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rPr>
            </w:pPr>
            <w:r>
              <w:rPr>
                <w:rFonts w:hint="eastAsia" w:ascii="宋体" w:hAnsi="宋体" w:cs="宋体"/>
                <w:bCs/>
                <w:kern w:val="0"/>
              </w:rPr>
              <w:t>序号</w:t>
            </w:r>
          </w:p>
        </w:tc>
        <w:tc>
          <w:tcPr>
            <w:tcW w:w="6660" w:type="dxa"/>
            <w:tcBorders>
              <w:top w:val="single" w:color="auto" w:sz="6" w:space="0"/>
              <w:left w:val="single" w:color="auto" w:sz="6" w:space="0"/>
              <w:bottom w:val="nil"/>
              <w:right w:val="nil"/>
            </w:tcBorders>
            <w:noWrap w:val="0"/>
            <w:vAlign w:val="center"/>
          </w:tcPr>
          <w:p>
            <w:pPr>
              <w:widowControl/>
              <w:jc w:val="center"/>
            </w:pPr>
            <w:r>
              <w:rPr>
                <w:rFonts w:hint="eastAsia" w:ascii="宋体" w:hAnsi="宋体" w:cs="宋体"/>
                <w:bCs/>
                <w:kern w:val="0"/>
              </w:rPr>
              <w:t>具体参数要求</w:t>
            </w:r>
          </w:p>
        </w:tc>
        <w:tc>
          <w:tcPr>
            <w:tcW w:w="1427" w:type="dxa"/>
            <w:tcBorders>
              <w:top w:val="single" w:color="auto" w:sz="6" w:space="0"/>
              <w:left w:val="single" w:color="auto" w:sz="6" w:space="0"/>
              <w:bottom w:val="nil"/>
              <w:right w:val="nil"/>
            </w:tcBorders>
            <w:noWrap w:val="0"/>
            <w:vAlign w:val="center"/>
          </w:tcPr>
          <w:p>
            <w:pPr>
              <w:widowControl/>
              <w:jc w:val="center"/>
              <w:rPr>
                <w:rFonts w:ascii="宋体" w:hAnsi="宋体" w:cs="宋体"/>
                <w:bCs/>
                <w:kern w:val="0"/>
              </w:rPr>
            </w:pPr>
            <w:r>
              <w:rPr>
                <w:rFonts w:hint="eastAsia" w:ascii="宋体" w:hAnsi="宋体" w:cs="宋体"/>
                <w:bCs/>
                <w:kern w:val="0"/>
              </w:rPr>
              <w:t>评分分值</w:t>
            </w:r>
          </w:p>
          <w:p>
            <w:pPr>
              <w:widowControl/>
              <w:jc w:val="center"/>
            </w:pPr>
            <w:r>
              <w:rPr>
                <w:rFonts w:hint="eastAsia" w:ascii="宋体" w:hAnsi="宋体" w:cs="宋体"/>
                <w:bCs/>
                <w:kern w:val="0"/>
              </w:rPr>
              <w:t>（合计</w:t>
            </w:r>
            <w:r>
              <w:rPr>
                <w:rFonts w:ascii="宋体" w:hAnsi="宋体" w:cs="宋体"/>
                <w:bCs/>
                <w:kern w:val="0"/>
              </w:rPr>
              <w:t>50</w:t>
            </w:r>
            <w:r>
              <w:rPr>
                <w:rFonts w:hint="eastAsia" w:ascii="宋体" w:hAnsi="宋体" w:cs="宋体"/>
                <w:bCs/>
                <w:kern w:val="0"/>
              </w:rPr>
              <w:t>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1</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rPr>
                <w:rFonts w:ascii="宋体" w:hAnsi="宋体" w:eastAsia="宋体" w:cs="宋体"/>
                <w:kern w:val="0"/>
                <w:sz w:val="24"/>
                <w:szCs w:val="24"/>
                <w:lang w:val="en-US" w:eastAsia="zh-CN" w:bidi="ar-SA"/>
              </w:rPr>
            </w:pPr>
            <w:r>
              <w:rPr>
                <w:rFonts w:ascii="宋体" w:hAnsi="宋体"/>
                <w:sz w:val="18"/>
                <w:szCs w:val="18"/>
              </w:rPr>
              <w:t xml:space="preserve">直立式不锈钢冷阱, </w:t>
            </w:r>
            <w:r>
              <w:rPr>
                <w:rFonts w:hint="eastAsia" w:ascii="宋体" w:hAnsi="宋体"/>
                <w:sz w:val="18"/>
                <w:szCs w:val="18"/>
              </w:rPr>
              <w:t>体积</w:t>
            </w:r>
            <w:r>
              <w:rPr>
                <w:rFonts w:ascii="宋体" w:hAnsi="宋体"/>
                <w:sz w:val="18"/>
                <w:szCs w:val="18"/>
              </w:rPr>
              <w:t>≥4.4L，集冰量≥2.5L，集冰效率≥2L/</w:t>
            </w:r>
            <w:r>
              <w:rPr>
                <w:rFonts w:hint="eastAsia" w:ascii="宋体" w:hAnsi="宋体"/>
                <w:sz w:val="18"/>
                <w:szCs w:val="18"/>
              </w:rPr>
              <w:t>天</w:t>
            </w:r>
            <w:r>
              <w:rPr>
                <w:rFonts w:ascii="宋体" w:hAnsi="宋体"/>
                <w:sz w:val="18"/>
                <w:szCs w:val="18"/>
              </w:rPr>
              <w:t>；</w:t>
            </w:r>
          </w:p>
        </w:tc>
        <w:tc>
          <w:tcPr>
            <w:tcW w:w="1427" w:type="dxa"/>
            <w:tcBorders>
              <w:top w:val="single" w:color="auto" w:sz="6" w:space="0"/>
              <w:left w:val="single" w:color="auto" w:sz="6" w:space="0"/>
              <w:bottom w:val="nil"/>
              <w:right w:val="nil"/>
            </w:tcBorders>
            <w:noWrap w:val="0"/>
            <w:vAlign w:val="center"/>
          </w:tcPr>
          <w:p>
            <w:pPr>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2</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rPr>
                <w:rFonts w:ascii="宋体" w:hAnsi="宋体" w:eastAsia="宋体" w:cs="宋体"/>
                <w:kern w:val="0"/>
                <w:sz w:val="24"/>
                <w:szCs w:val="24"/>
                <w:lang w:val="en-US" w:eastAsia="zh-CN" w:bidi="ar-SA"/>
              </w:rPr>
            </w:pPr>
            <w:r>
              <w:rPr>
                <w:rFonts w:ascii="宋体" w:hAnsi="宋体"/>
                <w:sz w:val="18"/>
                <w:szCs w:val="18"/>
              </w:rPr>
              <w:t>1/3马力无氟制冷系统，可制冷使冷阱温度≤-50摄氏度；</w:t>
            </w:r>
          </w:p>
        </w:tc>
        <w:tc>
          <w:tcPr>
            <w:tcW w:w="1427" w:type="dxa"/>
            <w:tcBorders>
              <w:top w:val="single" w:color="auto" w:sz="6" w:space="0"/>
              <w:left w:val="single" w:color="auto" w:sz="6" w:space="0"/>
              <w:bottom w:val="nil"/>
              <w:right w:val="nil"/>
            </w:tcBorders>
            <w:noWrap w:val="0"/>
            <w:vAlign w:val="center"/>
          </w:tcPr>
          <w:p>
            <w:pPr>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3</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rPr>
                <w:rFonts w:ascii="宋体" w:hAnsi="宋体" w:eastAsia="宋体" w:cs="宋体"/>
                <w:kern w:val="0"/>
                <w:sz w:val="24"/>
                <w:szCs w:val="24"/>
                <w:lang w:val="en-US" w:eastAsia="zh-CN" w:bidi="ar-SA"/>
              </w:rPr>
            </w:pPr>
            <w:r>
              <w:rPr>
                <w:rFonts w:ascii="宋体" w:hAnsi="宋体"/>
                <w:sz w:val="18"/>
                <w:szCs w:val="18"/>
              </w:rPr>
              <w:t>采用透明冷阱盖，厚度≥19mm，直径的大开口≥76mm，有利于溶剂升华；</w:t>
            </w:r>
          </w:p>
        </w:tc>
        <w:tc>
          <w:tcPr>
            <w:tcW w:w="1427" w:type="dxa"/>
            <w:tcBorders>
              <w:top w:val="single" w:color="auto" w:sz="6" w:space="0"/>
              <w:left w:val="single" w:color="auto" w:sz="6" w:space="0"/>
              <w:bottom w:val="nil"/>
              <w:right w:val="nil"/>
            </w:tcBorders>
            <w:noWrap w:val="0"/>
            <w:vAlign w:val="center"/>
          </w:tcPr>
          <w:p>
            <w:pPr>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4</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rPr>
                <w:rFonts w:ascii="宋体" w:hAnsi="宋体" w:eastAsia="宋体" w:cs="宋体"/>
                <w:kern w:val="0"/>
                <w:sz w:val="24"/>
                <w:szCs w:val="24"/>
                <w:lang w:val="en-US" w:eastAsia="zh-CN" w:bidi="ar-SA"/>
              </w:rPr>
            </w:pPr>
            <w:r>
              <w:rPr>
                <w:rFonts w:ascii="宋体" w:hAnsi="宋体"/>
                <w:sz w:val="18"/>
                <w:szCs w:val="18"/>
              </w:rPr>
              <w:t>彩色触摸屏尺寸≥5英寸，可控制运行参数，实时显示实际参数；</w:t>
            </w:r>
          </w:p>
        </w:tc>
        <w:tc>
          <w:tcPr>
            <w:tcW w:w="1427" w:type="dxa"/>
            <w:tcBorders>
              <w:top w:val="single" w:color="auto" w:sz="6" w:space="0"/>
              <w:left w:val="single" w:color="auto" w:sz="6" w:space="0"/>
              <w:bottom w:val="nil"/>
              <w:right w:val="nil"/>
            </w:tcBorders>
            <w:noWrap w:val="0"/>
            <w:vAlign w:val="center"/>
          </w:tcPr>
          <w:p>
            <w:pPr>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5</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ascii="宋体" w:hAnsi="宋体"/>
                <w:sz w:val="18"/>
                <w:szCs w:val="18"/>
              </w:rPr>
              <w:t>操作系统可显示冻干曲线，并可选配“End-Zone”终点检测软件；</w:t>
            </w:r>
          </w:p>
        </w:tc>
        <w:tc>
          <w:tcPr>
            <w:tcW w:w="1427" w:type="dxa"/>
            <w:tcBorders>
              <w:top w:val="single" w:color="auto" w:sz="6" w:space="0"/>
              <w:left w:val="single" w:color="auto" w:sz="6" w:space="0"/>
              <w:bottom w:val="nil"/>
              <w:right w:val="nil"/>
            </w:tcBorders>
            <w:noWrap w:val="0"/>
            <w:vAlign w:val="center"/>
          </w:tcPr>
          <w:p>
            <w:pPr>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6</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ascii="宋体" w:hAnsi="宋体"/>
                <w:sz w:val="18"/>
                <w:szCs w:val="18"/>
              </w:rPr>
              <w:t>可自动或手动开启冷阱和真空泵；</w:t>
            </w:r>
          </w:p>
        </w:tc>
        <w:tc>
          <w:tcPr>
            <w:tcW w:w="1427" w:type="dxa"/>
            <w:tcBorders>
              <w:top w:val="single" w:color="auto" w:sz="6" w:space="0"/>
              <w:left w:val="single" w:color="auto" w:sz="6" w:space="0"/>
              <w:bottom w:val="nil"/>
              <w:right w:val="nil"/>
            </w:tcBorders>
            <w:noWrap w:val="0"/>
            <w:vAlign w:val="center"/>
          </w:tcPr>
          <w:p>
            <w:pPr>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lang w:eastAsia="zh-CN"/>
              </w:rPr>
              <w:t>▲</w:t>
            </w:r>
            <w:r>
              <w:rPr>
                <w:rFonts w:hint="eastAsia" w:ascii="宋体" w:hAnsi="宋体"/>
                <w:bCs/>
              </w:rPr>
              <w:t>7</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ascii="宋体" w:hAnsi="宋体"/>
                <w:spacing w:val="-2"/>
                <w:sz w:val="18"/>
                <w:szCs w:val="18"/>
              </w:rPr>
              <w:t>具有报警功能，可以真空异常，运行时间过长，换油，除冰等情况下进行报警提示</w:t>
            </w:r>
            <w:r>
              <w:rPr>
                <w:rFonts w:hint="eastAsia" w:ascii="宋体" w:hAnsi="宋体"/>
                <w:spacing w:val="-2"/>
                <w:sz w:val="18"/>
                <w:szCs w:val="18"/>
              </w:rPr>
              <w:t>，并可</w:t>
            </w:r>
            <w:r>
              <w:rPr>
                <w:rFonts w:ascii="宋体" w:hAnsi="宋体"/>
                <w:spacing w:val="-2"/>
                <w:sz w:val="18"/>
                <w:szCs w:val="18"/>
              </w:rPr>
              <w:t>将报警信息通过无线网络传输至Android设备或用户邮箱；</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8</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ascii="宋体" w:hAnsi="宋体"/>
                <w:sz w:val="18"/>
                <w:szCs w:val="18"/>
              </w:rPr>
              <w:t>可设置用户权限，避免运行参数被任意修改；</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lang w:eastAsia="zh-CN"/>
              </w:rPr>
              <w:t>▲</w:t>
            </w:r>
            <w:r>
              <w:rPr>
                <w:rFonts w:hint="eastAsia" w:ascii="宋体" w:hAnsi="宋体"/>
                <w:bCs/>
              </w:rPr>
              <w:t>9</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ascii="宋体" w:hAnsi="宋体"/>
                <w:sz w:val="18"/>
                <w:szCs w:val="18"/>
              </w:rPr>
              <w:t>具有多种数据接口，可通过USB接口或无线网络将运行数据导出至android设备；</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bCs/>
              </w:rPr>
              <w:t>10</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hint="eastAsia" w:ascii="宋体" w:hAnsi="宋体"/>
                <w:sz w:val="18"/>
                <w:szCs w:val="18"/>
              </w:rPr>
              <w:t>具备自动热气除霜功能；</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sz w:val="24"/>
                <w:szCs w:val="24"/>
                <w:lang w:val="en-US" w:eastAsia="zh-CN"/>
              </w:rPr>
            </w:pPr>
            <w:r>
              <w:rPr>
                <w:rFonts w:hint="eastAsia" w:ascii="宋体" w:hAnsi="宋体"/>
                <w:bCs/>
                <w:lang w:eastAsia="zh-CN"/>
              </w:rPr>
              <w:t>▲</w:t>
            </w:r>
            <w:r>
              <w:rPr>
                <w:rFonts w:hint="eastAsia" w:ascii="宋体" w:hAnsi="宋体"/>
                <w:bCs/>
              </w:rPr>
              <w:t>1</w:t>
            </w:r>
            <w:r>
              <w:rPr>
                <w:rFonts w:ascii="宋体" w:hAnsi="宋体"/>
                <w:bCs/>
              </w:rPr>
              <w:t>1</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ascii="宋体" w:hAnsi="宋体" w:eastAsia="宋体" w:cs="宋体"/>
                <w:kern w:val="0"/>
                <w:sz w:val="24"/>
                <w:szCs w:val="24"/>
                <w:lang w:val="en-US" w:eastAsia="zh-CN" w:bidi="ar-SA"/>
              </w:rPr>
            </w:pPr>
            <w:r>
              <w:rPr>
                <w:rFonts w:hint="eastAsia" w:ascii="宋体" w:hAnsi="宋体"/>
                <w:color w:val="000000"/>
                <w:sz w:val="18"/>
                <w:szCs w:val="18"/>
              </w:rPr>
              <w:t>冷阱水分报警连锁装置，开机时如果探测到冷阱内有水分可阻止真空启动</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000000"/>
                <w:kern w:val="0"/>
                <w:sz w:val="24"/>
                <w:szCs w:val="24"/>
                <w:lang w:val="en-US" w:eastAsia="zh-CN"/>
              </w:rPr>
            </w:pPr>
            <w:r>
              <w:rPr>
                <w:rFonts w:hint="eastAsia" w:ascii="宋体" w:hAnsi="宋体"/>
                <w:bCs/>
              </w:rPr>
              <w:t>1</w:t>
            </w:r>
            <w:r>
              <w:rPr>
                <w:rFonts w:ascii="宋体" w:hAnsi="宋体"/>
                <w:bCs/>
              </w:rPr>
              <w:t>2</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hint="eastAsia" w:ascii="宋体" w:hAnsi="宋体" w:eastAsia="宋体" w:cs="宋体"/>
                <w:kern w:val="0"/>
                <w:sz w:val="24"/>
                <w:szCs w:val="24"/>
                <w:lang w:val="en-US" w:eastAsia="zh-CN" w:bidi="ar-SA"/>
              </w:rPr>
            </w:pPr>
            <w:r>
              <w:rPr>
                <w:rFonts w:hint="eastAsia" w:ascii="宋体" w:hAnsi="宋体"/>
                <w:color w:val="000000"/>
                <w:spacing w:val="-4"/>
                <w:sz w:val="18"/>
                <w:szCs w:val="18"/>
              </w:rPr>
              <w:t>真空释放阀可在冻干结束后自动释放空气进入系统，冻干中断后5分钟内重新启动可继续运行，如果超过5分钟，冷阱温度明显回升，真空将自动释放；</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000000"/>
                <w:kern w:val="0"/>
                <w:sz w:val="24"/>
                <w:szCs w:val="24"/>
                <w:lang w:val="en-US" w:eastAsia="zh-CN"/>
              </w:rPr>
            </w:pPr>
            <w:r>
              <w:rPr>
                <w:rFonts w:hint="eastAsia" w:ascii="宋体" w:hAnsi="宋体"/>
                <w:bCs/>
                <w:lang w:eastAsia="zh-CN"/>
              </w:rPr>
              <w:t>▲</w:t>
            </w:r>
            <w:r>
              <w:rPr>
                <w:rFonts w:hint="eastAsia" w:ascii="宋体" w:hAnsi="宋体"/>
                <w:bCs/>
              </w:rPr>
              <w:t>1</w:t>
            </w:r>
            <w:r>
              <w:rPr>
                <w:rFonts w:ascii="宋体" w:hAnsi="宋体"/>
                <w:bCs/>
              </w:rPr>
              <w:t>3</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hint="eastAsia" w:ascii="宋体" w:hAnsi="宋体" w:eastAsia="宋体" w:cs="宋体"/>
                <w:kern w:val="0"/>
                <w:sz w:val="24"/>
                <w:szCs w:val="24"/>
                <w:lang w:val="en-US" w:eastAsia="zh-CN" w:bidi="ar-SA"/>
              </w:rPr>
            </w:pPr>
            <w:r>
              <w:rPr>
                <w:rFonts w:hint="eastAsia" w:ascii="宋体" w:hAnsi="宋体"/>
                <w:color w:val="000000"/>
                <w:sz w:val="18"/>
                <w:szCs w:val="18"/>
              </w:rPr>
              <w:t>真空度可在1.5mBar至最低真空度之间任意控制；</w:t>
            </w:r>
          </w:p>
        </w:tc>
        <w:tc>
          <w:tcPr>
            <w:tcW w:w="14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bCs/>
                <w:color w:val="000000"/>
              </w:rPr>
            </w:pPr>
            <w:r>
              <w:rPr>
                <w:rFonts w:hint="eastAsia" w:ascii="宋体" w:hAnsi="宋体"/>
                <w:bCs/>
                <w:lang w:eastAsia="zh-CN"/>
              </w:rPr>
              <w:t>▲</w:t>
            </w:r>
            <w:r>
              <w:rPr>
                <w:rFonts w:hint="eastAsia" w:ascii="宋体" w:hAnsi="宋体"/>
                <w:bCs/>
              </w:rPr>
              <w:t>1</w:t>
            </w:r>
            <w:r>
              <w:rPr>
                <w:rFonts w:ascii="宋体" w:hAnsi="宋体"/>
                <w:bCs/>
              </w:rPr>
              <w:t>4</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hint="eastAsia" w:ascii="宋体" w:hAnsi="宋体"/>
                <w:bCs/>
                <w:color w:val="000000"/>
                <w:kern w:val="0"/>
              </w:rPr>
            </w:pPr>
            <w:r>
              <w:rPr>
                <w:rFonts w:hint="eastAsia" w:ascii="宋体" w:hAnsi="宋体"/>
                <w:color w:val="000000"/>
                <w:sz w:val="18"/>
                <w:szCs w:val="18"/>
              </w:rPr>
              <w:t>配备真空旋片泵，泵最大流速≥98L/min，极限真空度≤2×10</w:t>
            </w:r>
            <w:r>
              <w:rPr>
                <w:rFonts w:hint="eastAsia" w:ascii="宋体" w:hAnsi="宋体"/>
                <w:color w:val="000000"/>
                <w:sz w:val="18"/>
                <w:szCs w:val="18"/>
                <w:vertAlign w:val="superscript"/>
              </w:rPr>
              <w:t>-3</w:t>
            </w:r>
            <w:r>
              <w:rPr>
                <w:rFonts w:hint="eastAsia" w:ascii="宋体" w:hAnsi="宋体"/>
                <w:color w:val="000000"/>
                <w:sz w:val="18"/>
                <w:szCs w:val="18"/>
              </w:rPr>
              <w:t xml:space="preserve"> mbar;</w:t>
            </w:r>
          </w:p>
        </w:tc>
        <w:tc>
          <w:tcPr>
            <w:tcW w:w="14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bCs/>
                <w:color w:val="000000"/>
              </w:rPr>
            </w:pPr>
            <w:r>
              <w:rPr>
                <w:rFonts w:hint="eastAsia" w:ascii="宋体" w:hAnsi="宋体"/>
                <w:bCs/>
              </w:rPr>
              <w:t>1</w:t>
            </w:r>
            <w:r>
              <w:rPr>
                <w:rFonts w:ascii="宋体" w:hAnsi="宋体"/>
                <w:bCs/>
              </w:rPr>
              <w:t>5</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hint="eastAsia" w:ascii="宋体" w:hAnsi="宋体"/>
                <w:bCs/>
                <w:color w:val="000000"/>
                <w:kern w:val="0"/>
              </w:rPr>
            </w:pPr>
            <w:r>
              <w:rPr>
                <w:rFonts w:hint="eastAsia" w:ascii="宋体" w:hAnsi="宋体"/>
                <w:color w:val="000000"/>
                <w:sz w:val="18"/>
                <w:szCs w:val="18"/>
              </w:rPr>
              <w:t>配备不锈钢冻干室，带16个阀口，直径≥33cm，高度≥33cm。</w:t>
            </w:r>
          </w:p>
        </w:tc>
        <w:tc>
          <w:tcPr>
            <w:tcW w:w="1427" w:type="dxa"/>
            <w:tcBorders>
              <w:top w:val="single" w:color="auto" w:sz="6" w:space="0"/>
              <w:left w:val="single" w:color="auto" w:sz="6" w:space="0"/>
              <w:bottom w:val="nil"/>
              <w:right w:val="nil"/>
            </w:tcBorders>
            <w:noWrap w:val="0"/>
            <w:vAlign w:val="center"/>
          </w:tcPr>
          <w:p>
            <w:pPr>
              <w:jc w:val="center"/>
              <w:rPr>
                <w:rFonts w:hint="eastAsia" w:ascii="宋体" w:hAnsi="宋体" w:eastAsia="宋体" w:cs="宋体"/>
                <w:color w:val="000000"/>
                <w:kern w:val="0"/>
                <w:sz w:val="24"/>
                <w:szCs w:val="24"/>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bCs/>
                <w:color w:val="000000"/>
              </w:rPr>
            </w:pPr>
            <w:r>
              <w:rPr>
                <w:rFonts w:hint="eastAsia" w:ascii="宋体" w:hAnsi="宋体"/>
                <w:bCs/>
              </w:rPr>
              <w:t>1</w:t>
            </w:r>
            <w:r>
              <w:rPr>
                <w:rFonts w:ascii="宋体" w:hAnsi="宋体"/>
                <w:bCs/>
              </w:rPr>
              <w:t>6</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hint="eastAsia" w:ascii="宋体" w:hAnsi="宋体"/>
                <w:bCs/>
                <w:color w:val="000000"/>
                <w:kern w:val="0"/>
              </w:rPr>
            </w:pPr>
            <w:r>
              <w:rPr>
                <w:rFonts w:hint="eastAsia" w:ascii="宋体" w:hAnsi="宋体"/>
                <w:color w:val="000000"/>
                <w:sz w:val="18"/>
                <w:szCs w:val="18"/>
              </w:rPr>
              <w:t>配备3层铝制样品搁架，托盘直径≥26.</w:t>
            </w:r>
            <w:r>
              <w:rPr>
                <w:rFonts w:ascii="宋体" w:hAnsi="宋体"/>
                <w:color w:val="000000"/>
                <w:sz w:val="18"/>
                <w:szCs w:val="18"/>
              </w:rPr>
              <w:t>5</w:t>
            </w:r>
            <w:r>
              <w:rPr>
                <w:rFonts w:hint="eastAsia" w:ascii="宋体" w:hAnsi="宋体"/>
                <w:color w:val="000000"/>
                <w:sz w:val="18"/>
                <w:szCs w:val="18"/>
              </w:rPr>
              <w:t>cm</w:t>
            </w:r>
          </w:p>
        </w:tc>
        <w:tc>
          <w:tcPr>
            <w:tcW w:w="1427" w:type="dxa"/>
            <w:tcBorders>
              <w:top w:val="single" w:color="auto" w:sz="6" w:space="0"/>
              <w:left w:val="single" w:color="auto" w:sz="6" w:space="0"/>
              <w:bottom w:val="nil"/>
              <w:right w:val="nil"/>
            </w:tcBorders>
            <w:noWrap w:val="0"/>
            <w:vAlign w:val="center"/>
          </w:tcPr>
          <w:p>
            <w:pPr>
              <w:jc w:val="center"/>
              <w:rPr>
                <w:rFonts w:hint="eastAsia" w:ascii="宋体" w:hAnsi="宋体" w:eastAsia="宋体" w:cs="宋体"/>
                <w:color w:val="000000"/>
                <w:kern w:val="0"/>
                <w:sz w:val="24"/>
                <w:szCs w:val="24"/>
              </w:rPr>
            </w:pPr>
            <w:r>
              <w:rPr>
                <w:rFonts w:ascii="宋体" w:hAnsi="宋体" w:cs="宋体"/>
                <w:bCs/>
                <w:kern w:val="0"/>
              </w:rPr>
              <w:t>1</w:t>
            </w:r>
            <w:r>
              <w:rPr>
                <w:rFonts w:hint="eastAsia" w:ascii="宋体" w:hAnsi="宋体" w:cs="宋体"/>
                <w:bCs/>
                <w:kern w:val="0"/>
              </w:rPr>
              <w:t>.</w:t>
            </w: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jc w:val="center"/>
              <w:rPr>
                <w:rFonts w:hint="eastAsia" w:ascii="宋体" w:hAnsi="宋体" w:cs="宋体"/>
                <w:b/>
                <w:kern w:val="0"/>
                <w:sz w:val="24"/>
                <w:szCs w:val="24"/>
              </w:rPr>
            </w:pPr>
          </w:p>
        </w:tc>
        <w:tc>
          <w:tcPr>
            <w:tcW w:w="793" w:type="dxa"/>
            <w:tcBorders>
              <w:top w:val="single" w:color="auto" w:sz="6" w:space="0"/>
              <w:left w:val="single" w:color="auto" w:sz="6" w:space="0"/>
              <w:bottom w:val="nil"/>
              <w:right w:val="nil"/>
            </w:tcBorders>
            <w:noWrap w:val="0"/>
            <w:vAlign w:val="center"/>
          </w:tcPr>
          <w:p>
            <w:pPr>
              <w:widowControl/>
              <w:jc w:val="center"/>
              <w:rPr>
                <w:rFonts w:hint="eastAsia" w:ascii="宋体" w:hAnsi="宋体"/>
                <w:bCs/>
                <w:color w:val="000000"/>
              </w:rPr>
            </w:pPr>
            <w:r>
              <w:rPr>
                <w:rFonts w:hint="eastAsia" w:ascii="宋体" w:hAnsi="宋体"/>
                <w:bCs/>
                <w:lang w:eastAsia="zh-CN"/>
              </w:rPr>
              <w:t>▲</w:t>
            </w:r>
            <w:r>
              <w:rPr>
                <w:rFonts w:hint="eastAsia" w:ascii="宋体" w:hAnsi="宋体"/>
                <w:bCs/>
              </w:rPr>
              <w:t>1</w:t>
            </w:r>
            <w:r>
              <w:rPr>
                <w:rFonts w:ascii="宋体" w:hAnsi="宋体"/>
                <w:bCs/>
              </w:rPr>
              <w:t>7</w:t>
            </w:r>
          </w:p>
        </w:tc>
        <w:tc>
          <w:tcPr>
            <w:tcW w:w="6660" w:type="dxa"/>
            <w:tcBorders>
              <w:top w:val="single" w:color="auto" w:sz="6" w:space="0"/>
              <w:left w:val="single" w:color="auto" w:sz="6" w:space="0"/>
              <w:bottom w:val="nil"/>
              <w:right w:val="nil"/>
            </w:tcBorders>
            <w:noWrap w:val="0"/>
            <w:vAlign w:val="center"/>
          </w:tcPr>
          <w:p>
            <w:pPr>
              <w:widowControl/>
              <w:ind w:left="78" w:leftChars="37" w:right="126" w:rightChars="60"/>
              <w:jc w:val="left"/>
              <w:rPr>
                <w:rFonts w:hint="eastAsia" w:ascii="宋体" w:hAnsi="宋体"/>
                <w:bCs/>
                <w:color w:val="000000"/>
                <w:kern w:val="0"/>
              </w:rPr>
            </w:pPr>
            <w:r>
              <w:rPr>
                <w:rFonts w:hint="eastAsia" w:ascii="宋体" w:hAnsi="宋体"/>
                <w:color w:val="000000"/>
                <w:sz w:val="18"/>
                <w:szCs w:val="18"/>
              </w:rPr>
              <w:t>具有</w:t>
            </w:r>
            <w:r>
              <w:rPr>
                <w:rFonts w:ascii="宋体" w:hAnsi="宋体"/>
                <w:color w:val="000000"/>
                <w:sz w:val="18"/>
                <w:szCs w:val="18"/>
              </w:rPr>
              <w:t>符合欧盟CE认证(230V, 50Hz)</w:t>
            </w:r>
          </w:p>
        </w:tc>
        <w:tc>
          <w:tcPr>
            <w:tcW w:w="1427" w:type="dxa"/>
            <w:tcBorders>
              <w:top w:val="single" w:color="auto" w:sz="6" w:space="0"/>
              <w:left w:val="single" w:color="auto" w:sz="6" w:space="0"/>
              <w:bottom w:val="nil"/>
              <w:right w:val="nil"/>
            </w:tcBorders>
            <w:noWrap w:val="0"/>
            <w:vAlign w:val="center"/>
          </w:tcPr>
          <w:p>
            <w:pPr>
              <w:jc w:val="center"/>
              <w:rPr>
                <w:rFonts w:hint="eastAsia" w:ascii="宋体" w:hAnsi="宋体" w:eastAsia="宋体" w:cs="宋体"/>
                <w:color w:val="000000"/>
                <w:kern w:val="0"/>
                <w:sz w:val="24"/>
                <w:szCs w:val="24"/>
              </w:rPr>
            </w:pPr>
            <w:r>
              <w:rPr>
                <w:rFonts w:ascii="宋体" w:hAnsi="宋体" w:cs="宋体"/>
                <w:bCs/>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b/>
                      <w:bCs/>
                      <w:color w:val="auto"/>
                      <w:kern w:val="0"/>
                      <w:szCs w:val="21"/>
                      <w:u w:val="single"/>
                      <w:lang w:eastAsia="zh-CN"/>
                    </w:rPr>
                    <w:t>贰</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5B7E04"/>
    <w:rsid w:val="057207F6"/>
    <w:rsid w:val="05B5022E"/>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697AB9"/>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DE1988"/>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2020-11-12T02:52:35Z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